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tiff"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tbl>
      <w:tblPr>
        <w:tblLayout w:type="fixed"/>
      </w:tblPr>
      <w:tblGrid>
        <w:gridCol w:w="20"/>
        <w:gridCol w:w="10300"/>
        <w:gridCol w:w="1"/>
      </w:tblGrid>
      <w:tr>
        <w:trPr>
          <w:trHeight w:hRule="exact" w:val="6340"/>
        </w:trPr>
        <w:tc>
          <w:tcPr>
     </w:tcPr>
          <w:p>
            <w:pPr>
              <w:pStyle w:val="EMPTY_CELL_STYLE"/>
            </w:pPr>
            <w:bookmarkStart w:id="0" w:name="JR_PAGE_ANCHOR_0_1"/>
            <w:bookmarkEnd w:id="0"/>
          </w:p>
        </w:tc>
        <w:tc>
          <w:tcPr>
     </w:tcPr>
          <w:p>
            <w:pPr>
              <w:pStyle w:val="EMPTY_CELL_STYLE"/>
            </w:pPr>
          </w:p>
        </w:tc>
        <w:tc>
          <w:tcPr>
     </w:tcPr>
          <w:p>
            <w:pPr>
              <w:pStyle w:val="EMPTY_CELL_STYLE"/>
            </w:pPr>
          </w:p>
        </w:tc>
      </w:tr>
      <w:tr>
        <w:trPr>
          <w:trHeight w:hRule="exact" w:val="600"/>
        </w:trPr>
        <w:tc>
          <w:tcPr>
     </w:tcPr>
          <w:p>
            <w:pPr>
              <w:pStyle w:val="EMPTY_CELL_STYLE"/>
            </w:pPr>
          </w:p>
        </w:tc>
        <w:tc>
          <w:tcPr>
            <w:tcMar>
              <w:top w:w="0" w:type="dxa"/>
              <w:left w:w="0" w:type="dxa"/>
              <w:bottom w:w="0" w:type="dxa"/>
              <w:right w:w="0" w:type="dxa"/>
            </w:tcMar>
            <w:vAlign w:val="top"/>
          </w:tcPr>
          <w:p>
            <w:pPr>
              <w:pStyle w:val="Title"/>
              <w:ind/>
              <w:jc w:val="left"/>
            </w:pPr>
            <w:r>
              <w:rPr>
       </w:rPr>
              <w:t xml:space="preserve">grade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r>
      <w:tr>
        <w:trPr>
          <w:trHeight w:hRule="exact" w:val="400"/>
        </w:trPr>
        <w:tc>
          <w:tcPr>
     </w:tcPr>
          <w:p>
            <w:pPr>
              <w:pStyle w:val="EMPTY_CELL_STYLE"/>
            </w:pPr>
          </w:p>
        </w:tc>
        <w:tc>
          <w:tcPr>
            <w:tcMar>
              <w:top w:w="0" w:type="dxa"/>
              <w:left w:w="0" w:type="dxa"/>
              <w:bottom w:w="0" w:type="dxa"/>
              <w:right w:w="0" w:type="dxa"/>
            </w:tcMar>
            <w:vAlign w:val="top"/>
          </w:tcPr>
          <w:p>
            <w:pPr>
              <w:pStyle w:val="Title Date"/>
              <w:ind/>
            </w:pPr>
            <w:r>
              <w:rPr>
       </w:rPr>
              <w:t xml:space="preserve">29 Jun 2024 15:43:29</w:t>
            </w:r>
          </w:p>
        </w:tc>
        <w:tc>
          <w:tcPr>
     </w:tcPr>
          <w:p>
            <w:pPr>
              <w:pStyle w:val="EMPTY_CELL_STYLE"/>
            </w:pPr>
          </w:p>
        </w:tc>
      </w:tr>
      <w:tr>
        <w:trPr>
          <w:trHeight w:hRule="exact" w:val="9460"/>
        </w:trPr>
        <w:tc>
          <w:tcPr>
     </w:tcPr>
          <w:p>
            <w:pPr>
              <w:pStyle w:val="EMPTY_CELL_STYLE"/>
            </w:pPr>
          </w:p>
        </w:tc>
        <w:tc>
          <w:tcPr>
     </w:tcPr>
          <w:p>
            <w:pPr>
              <w:pStyle w:val="EMPTY_CELL_STYLE"/>
            </w:pP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 w:name="JR_PAGE_ANCHOR_0_2"/>
            <w:bookmarkEnd w:id="1"/>
            <w:r>
              <w:rPr/>
              <w:drawing>
                <wp:inline distT="0" distB="0" distL="0" distR="0">
                  <wp:extent cx="7556500" cy="635000"/>
                  <wp:effectExtent l="0" t="0" r="0" b="0"/>
                  <wp:docPr id="133047331" name="Picture">
</wp:docPr>
                  <a:graphic>
                    <a:graphicData uri="http://schemas.openxmlformats.org/drawingml/2006/picture">
                      <pic:pic>
                        <pic:nvPicPr>
                          <pic:cNvPr id="1330473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3"/>
            <w:tcMar>
              <w:top w:w="0" w:type="dxa"/>
              <w:left w:w="0" w:type="dxa"/>
              <w:bottom w:w="0" w:type="dxa"/>
              <w:right w:w="0" w:type="dxa"/>
            </w:tcMar>
            <w:vAlign w:val="top"/>
          </w:tcPr>
          <w:p>
            <w:pPr>
              <w:pStyle w:val="Title 1"/>
              <w:ind/>
            </w:pPr>
            <w:r>
              <w:rPr>
       </w:rPr>
              <w:t xml:space="preserve">Purpose</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0"/>
        </w:trPr>
        <w:tc>
          <w:tcPr>
     </w:tcPr>
          <w:p>
            <w:pPr>
              <w:pStyle w:val="EMPTY_CELL_STYLE"/>
            </w:pPr>
          </w:p>
        </w:tc>
        <w:tc>
          <w:tcPr>
            <w:gridSpan w:val="3"/>
            <w:tcMar>
              <w:top w:w="0" w:type="dxa"/>
              <w:left w:w="0" w:type="dxa"/>
              <w:bottom w:w="0" w:type="dxa"/>
              <w:right w:w="0" w:type="dxa"/>
            </w:tcMar>
            <w:vAlign w:val="top"/>
          </w:tcPr>
          <w:p>
            <w:pPr>
              <w:pStyle w:val="Normal"/>
              <w:ind/>
            </w:pPr>
          </w:p>
        </w:tc>
        <w:tc>
          <w:tcPr>
     </w:tcPr>
          <w:p>
            <w:pPr>
              <w:pStyle w:val="EMPTY_CELL_STYLE"/>
            </w:pPr>
          </w:p>
        </w:tc>
      </w:tr>
      <w:tr>
        <w:trPr>
          <w:trHeight w:hRule="exact" w:val="13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 w:name="JR_PAGE_ANCHOR_0_3"/>
            <w:bookmarkEnd w:id="2"/>
            <w:r>
              <w:rPr/>
              <w:drawing>
                <wp:inline distT="0" distB="0" distL="0" distR="0">
                  <wp:extent cx="7556500" cy="635000"/>
                  <wp:effectExtent l="0" t="0" r="0" b="0"/>
                  <wp:docPr id="766796213" name="Picture">
</wp:docPr>
                  <a:graphic>
                    <a:graphicData uri="http://schemas.openxmlformats.org/drawingml/2006/picture">
                      <pic:pic>
                        <pic:nvPicPr>
                          <pic:cNvPr id="7667962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Views</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ContextMap</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4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102100"/>
                  <wp:effectExtent l="0" t="0" r="0" b="0"/>
                  <wp:docPr id="1775247809" name="Picture">
</wp:docPr>
                  <a:graphic>
                    <a:graphicData uri="http://schemas.openxmlformats.org/drawingml/2006/picture">
                      <pic:pic>
                        <pic:nvPicPr>
                          <pic:cNvPr id="1775247809" name="Picture"/>
                          <pic:cNvPicPr/>
                        </pic:nvPicPr>
                        <pic:blipFill>
                          <a:blip r:embed="img_0_2_4.png"/>
                          <a:srcRect/>
                          <a:stretch>
                            <a:fillRect/>
                          </a:stretch>
                        </pic:blipFill>
                        <pic:spPr>
                          <a:xfrm>
                            <a:off x="0" y="0"/>
                            <a:ext cx="6527800" cy="4102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Management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Telegram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Voting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3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 w:name="JR_PAGE_ANCHOR_0_4"/>
            <w:bookmarkEnd w:id="3"/>
            <w:r>
              <w:rPr/>
              <w:drawing>
                <wp:inline distT="0" distB="0" distL="0" distR="0">
                  <wp:extent cx="7556500" cy="635000"/>
                  <wp:effectExtent l="0" t="0" r="0" b="0"/>
                  <wp:docPr id="1196222136" name="Picture">
</wp:docPr>
                  <a:graphic>
                    <a:graphicData uri="http://schemas.openxmlformats.org/drawingml/2006/picture">
                      <pic:pic>
                        <pic:nvPicPr>
                          <pic:cNvPr id="11962221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DomainModel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3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905500"/>
                  <wp:effectExtent l="0" t="0" r="0" b="0"/>
                  <wp:docPr id="1931130011" name="Picture">
</wp:docPr>
                  <a:graphic>
                    <a:graphicData uri="http://schemas.openxmlformats.org/drawingml/2006/picture">
                      <pic:pic>
                        <pic:nvPicPr>
                          <pic:cNvPr id="1931130011" name="Picture"/>
                          <pic:cNvPicPr/>
                        </pic:nvPicPr>
                        <pic:blipFill>
                          <a:blip r:embed="img_0_3_3.png"/>
                          <a:srcRect/>
                          <a:stretch>
                            <a:fillRect/>
                          </a:stretch>
                        </pic:blipFill>
                        <pic:spPr>
                          <a:xfrm>
                            <a:off x="0" y="0"/>
                            <a:ext cx="6527800" cy="5905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Competence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6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4" w:name="JR_PAGE_ANCHOR_0_5"/>
            <w:bookmarkEnd w:id="4"/>
            <w:r>
              <w:rPr/>
              <w:drawing>
                <wp:inline distT="0" distB="0" distL="0" distR="0">
                  <wp:extent cx="7556500" cy="635000"/>
                  <wp:effectExtent l="0" t="0" r="0" b="0"/>
                  <wp:docPr id="298939230" name="Picture">
</wp:docPr>
                  <a:graphic>
                    <a:graphicData uri="http://schemas.openxmlformats.org/drawingml/2006/picture">
                      <pic:pic>
                        <pic:nvPicPr>
                          <pic:cNvPr id="29893923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 w:name="JR_PAGE_ANCHOR_0_6"/>
            <w:bookmarkEnd w:id="5"/>
            <w:r>
              <w:rPr/>
              <w:drawing>
                <wp:inline distT="0" distB="0" distL="0" distR="0">
                  <wp:extent cx="7556500" cy="635000"/>
                  <wp:effectExtent l="0" t="0" r="0" b="0"/>
                  <wp:docPr id="2018719292" name="Picture">
</wp:docPr>
                  <a:graphic>
                    <a:graphicData uri="http://schemas.openxmlformats.org/drawingml/2006/picture">
                      <pic:pic>
                        <pic:nvPicPr>
                          <pic:cNvPr id="20187192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DomainModel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8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600700"/>
                  <wp:effectExtent l="0" t="0" r="0" b="0"/>
                  <wp:docPr id="1628801015" name="Picture">
</wp:docPr>
                  <a:graphic>
                    <a:graphicData uri="http://schemas.openxmlformats.org/drawingml/2006/picture">
                      <pic:pic>
                        <pic:nvPicPr>
                          <pic:cNvPr id="1628801015" name="Picture"/>
                          <pic:cNvPicPr/>
                        </pic:nvPicPr>
                        <pic:blipFill>
                          <a:blip r:embed="img_0_5_3.png"/>
                          <a:srcRect/>
                          <a:stretch>
                            <a:fillRect/>
                          </a:stretch>
                        </pic:blipFill>
                        <pic:spPr>
                          <a:xfrm>
                            <a:off x="0" y="0"/>
                            <a:ext cx="6527800" cy="5600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0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 w:name="JR_PAGE_ANCHOR_0_7"/>
            <w:bookmarkEnd w:id="6"/>
            <w:r>
              <w:rPr/>
              <w:drawing>
                <wp:inline distT="0" distB="0" distL="0" distR="0">
                  <wp:extent cx="7556500" cy="635000"/>
                  <wp:effectExtent l="0" t="0" r="0" b="0"/>
                  <wp:docPr id="1880527972" name="Picture">
</wp:docPr>
                  <a:graphic>
                    <a:graphicData uri="http://schemas.openxmlformats.org/drawingml/2006/picture">
                      <pic:pic>
                        <pic:nvPicPr>
                          <pic:cNvPr id="18805279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EventStorming</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1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181600"/>
                  <wp:effectExtent l="0" t="0" r="0" b="0"/>
                  <wp:docPr id="283690914" name="Picture">
</wp:docPr>
                  <a:graphic>
                    <a:graphicData uri="http://schemas.openxmlformats.org/drawingml/2006/picture">
                      <pic:pic>
                        <pic:nvPicPr>
                          <pic:cNvPr id="283690914" name="Picture"/>
                          <pic:cNvPicPr/>
                        </pic:nvPicPr>
                        <pic:blipFill>
                          <a:blip r:embed="img_0_6_3.png"/>
                          <a:srcRect/>
                          <a:stretch>
                            <a:fillRect/>
                          </a:stretch>
                        </pic:blipFill>
                        <pic:spPr>
                          <a:xfrm>
                            <a:off x="0" y="0"/>
                            <a:ext cx="6527800" cy="5181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AnyMember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ArtifactHasAlreadyBeenEndorsedForTheMember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ArtifactIsAccepted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ArtifactIsProposed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AvailableEndorsementsExceeded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Committee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Competence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CompleteEndorsement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 w:name="JR_PAGE_ANCHOR_0_8"/>
            <w:bookmarkEnd w:id="7"/>
            <w:r>
              <w:rPr/>
              <w:drawing>
                <wp:inline distT="0" distB="0" distL="0" distR="0">
                  <wp:extent cx="7556500" cy="635000"/>
                  <wp:effectExtent l="0" t="0" r="0" b="0"/>
                  <wp:docPr id="503117914" name="Picture">
</wp:docPr>
                  <a:graphic>
                    <a:graphicData uri="http://schemas.openxmlformats.org/drawingml/2006/picture">
                      <pic:pic>
                        <pic:nvPicPr>
                          <pic:cNvPr id="50311791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EndorsementCompleted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EndorsementReceived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EndorsementReleased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EndorsementReserved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GradeAssigned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HigherGradeCan'tBeEndorsed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PendingArtifacts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ProposeArtifact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RecentArtifacts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ReleaseEndorsement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ReserveEndorsement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SyncGrade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Агрегат</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Актор</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Доменное событие</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Допускается одна рекомендация рекомендующего за один конкретный артефакт рекомендуемого.</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Запрос</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 (Query)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Интеграционное событие</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Каждый участник может отдать 20 рекомендаций (признаний) в год в пользу других участников.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Команда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Модель Чтения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Одна рекомендация от участника претендуемого (или более высокого) квалификационного класса равноценна двум рекомендациям от участников текущего квалификационного класса.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Основанием для каждой рекомендации должен служить факт конкретного вклада участника в достижение целей Организации.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8</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 w:name="JR_PAGE_ANCHOR_0_9"/>
            <w:bookmarkEnd w:id="8"/>
            <w:r>
              <w:rPr/>
              <w:drawing>
                <wp:inline distT="0" distB="0" distL="0" distR="0">
                  <wp:extent cx="7556500" cy="635000"/>
                  <wp:effectExtent l="0" t="0" r="0" b="0"/>
                  <wp:docPr id="1777766520" name="Picture">
</wp:docPr>
                  <a:graphic>
                    <a:graphicData uri="http://schemas.openxmlformats.org/drawingml/2006/picture">
                      <pic:pic>
                        <pic:nvPicPr>
                          <pic:cNvPr id="17777665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Политика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 (Policy)</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предлагаемые артефакты могут проходить процедуру одобрения Комитетом Организации по его усмотрению.</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Рекомендации от участников более низкого квалификационного класса не допускаются.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рекомендуемая трудоемкость одного артефакта на каждого его исполнителя должна составлять от 20 до 80 часов; маленькие артефакты рекомендуется группировать, большие - декомпозировать;</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Сообщение Команды</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19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Требуемые количества рекомендаций по квалификационным классам: эксперт - 20 рекомендаций Экспертов; кандидат в эксперты - 10 рекомендаций Кандидатов в эксперты; 1 класс - 7 рекомендаций 1-го класса; 2 класс - 5 рекомендаций 2-го класса; 3 класс - 3 рекомендации 3-го класса; без класса - по умолчанию.</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9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9</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 w:name="JR_PAGE_ANCHOR_0_10"/>
            <w:bookmarkEnd w:id="9"/>
            <w:r>
              <w:rPr/>
              <w:drawing>
                <wp:inline distT="0" distB="0" distL="0" distR="0">
                  <wp:extent cx="7556500" cy="635000"/>
                  <wp:effectExtent l="0" t="0" r="0" b="0"/>
                  <wp:docPr id="1184452390" name="Picture">
</wp:docPr>
                  <a:graphic>
                    <a:graphicData uri="http://schemas.openxmlformats.org/drawingml/2006/picture">
                      <pic:pic>
                        <pic:nvPicPr>
                          <pic:cNvPr id="11844523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HexagonalArchitecture</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6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203700"/>
                  <wp:effectExtent l="0" t="0" r="0" b="0"/>
                  <wp:docPr id="1442749487" name="Picture">
</wp:docPr>
                  <a:graphic>
                    <a:graphicData uri="http://schemas.openxmlformats.org/drawingml/2006/picture">
                      <pic:pic>
                        <pic:nvPicPr>
                          <pic:cNvPr id="1442749487" name="Picture"/>
                          <pic:cNvPicPr/>
                        </pic:nvPicPr>
                        <pic:blipFill>
                          <a:blip r:embed="img_0_9_3.png"/>
                          <a:srcRect/>
                          <a:stretch>
                            <a:fillRect/>
                          </a:stretch>
                        </pic:blipFill>
                        <pic:spPr>
                          <a:xfrm>
                            <a:off x="0" y="0"/>
                            <a:ext cx="6527800" cy="4203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Aggregate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Dead Letter Channel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Message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Queue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Reply Channel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Topic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Bytes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CommandHandler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Layer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Expension Point Pipeline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Front Door Queue using message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Gateway (with Transactional Outbox)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GOF Pattern Mediator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gRPC Hexagonal Adapter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10</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 w:name="JR_PAGE_ANCHOR_0_11"/>
            <w:bookmarkEnd w:id="10"/>
            <w:r>
              <w:rPr/>
              <w:drawing>
                <wp:inline distT="0" distB="0" distL="0" distR="0">
                  <wp:extent cx="7556500" cy="635000"/>
                  <wp:effectExtent l="0" t="0" r="0" b="0"/>
                  <wp:docPr id="2111700021" name="Picture">
</wp:docPr>
                  <a:graphic>
                    <a:graphicData uri="http://schemas.openxmlformats.org/drawingml/2006/picture">
                      <pic:pic>
                        <pic:nvPicPr>
                          <pic:cNvPr id="21117000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HTTP-Response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Integration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JSON-RPC Hexagonal Adapter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Subscriber Hexagonal Adapter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 Pipeline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Mediator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Projection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 (Hexagonal Port,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QueryHandler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ReadModel Database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RepositoryImplementation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REST-Endpoint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Integration Event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Team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Pipeline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WebHook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WriteModel DataBase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5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11</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 w:name="JR_PAGE_ANCHOR_0_12"/>
            <w:bookmarkEnd w:id="11"/>
            <w:r>
              <w:rPr/>
              <w:drawing>
                <wp:inline distT="0" distB="0" distL="0" distR="0">
                  <wp:extent cx="7556500" cy="635000"/>
                  <wp:effectExtent l="0" t="0" r="0" b="0"/>
                  <wp:docPr id="337875491" name="Picture">
</wp:docPr>
                  <a:graphic>
                    <a:graphicData uri="http://schemas.openxmlformats.org/drawingml/2006/picture">
                      <pic:pic>
                        <pic:nvPicPr>
                          <pic:cNvPr id="33787549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Requirements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0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2540000"/>
                  <wp:effectExtent l="0" t="0" r="0" b="0"/>
                  <wp:docPr id="1522581380" name="Picture">
</wp:docPr>
                  <a:graphic>
                    <a:graphicData uri="http://schemas.openxmlformats.org/drawingml/2006/picture">
                      <pic:pic>
                        <pic:nvPicPr>
                          <pic:cNvPr id="1522581380" name="Picture"/>
                          <pic:cNvPicPr/>
                        </pic:nvPicPr>
                        <pic:blipFill>
                          <a:blip r:embed="img_0_11_3.png"/>
                          <a:srcRect/>
                          <a:stretch>
                            <a:fillRect/>
                          </a:stretch>
                        </pic:blipFill>
                        <pic:spPr>
                          <a:xfrm>
                            <a:off x="0" y="0"/>
                            <a:ext cx="6527800" cy="2540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 design ≈ cost ≈ change ≈ big change ≈ coupling. Transitively, software design ≈ managing coupling." -- Kent Beck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@banofbot может быть использован для атаки против ценных участников сообщества и необратимого уничтожения их информации в паблике.</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Адресовать запросы в первую очередь к участникам, обладающим наивысшим уровнем экспертности, выраженной конкретным опытом, ценность которого подтверждена другими членами организации.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Артефакты должны классифицироваться по компетенциям</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6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 процессе конструирования кода, 91% времени (в лучшем случае) занимает именно чтение кода и борьба со сложностью (каждым разработчиком постоянно), и только 9% времени (1:10) занимает ввод символов с клавиатуры (одним разработчиком единократно)</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 экспертные сообщества нередко обращаются за услугами консалтинга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Ввести внутреннюю систему ценностей в виде квалификационной классности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24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вклад и квалификация члена Организации оцениваются одновременно и неразрывно, как и неразрывны теория с практикой; вклад не обязан быть кем-то оцененным, если он не отражает квалификацию исполнителя в виде конкретной ценности для достижения уставных целей Организации, а без практического вклада оценить отдельно квалификацию система тоже не позволяет; рекомендация означает признание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12</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 w:name="JR_PAGE_ANCHOR_0_13"/>
            <w:bookmarkEnd w:id="12"/>
            <w:r>
              <w:rPr/>
              <w:drawing>
                <wp:inline distT="0" distB="0" distL="0" distR="0">
                  <wp:extent cx="7556500" cy="635000"/>
                  <wp:effectExtent l="0" t="0" r="0" b="0"/>
                  <wp:docPr id="730656841" name="Picture">
</wp:docPr>
                  <a:graphic>
                    <a:graphicData uri="http://schemas.openxmlformats.org/drawingml/2006/picture">
                      <pic:pic>
                        <pic:nvPicPr>
                          <pic:cNvPr id="73065684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экспертности члена Организации, выраженной на примере конкретного практического опыта, другими членами Организации.</w:t>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Восстановить процентное содержание качественной информации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Высокая стоимость внемения изменения в реализацию</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Голос участника опроса должен учитываться с учетом весового коэффициента его квалификационного класса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Грамотные специалисты не всегда спешат ввязываться во флейм с малограмотными оппонентами. Зачастую это приводит к их демотивации и самоустранению из пабликов.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Демотивация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Дисбаланс в пользу краткосрочных бизнес-интересов в ущерб долгосрочным техническим интересам (Spaghetti code)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Допускается одна рекомендация рекомендующего за один конкретный артефакт рекомендуемого.</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Дросселировать информацию от участников с невысоким уровнем квалификации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Зависимое положение исполнителя от оценки/рекомендации заказчика.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Заказчик не осведомлен об объективной квалификации исполнителя.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Заказчики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Закоммерциализированные сертификаты зачастую не отражают реальный уровень квалификации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Захламленность информационного пространства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социальное положение грамотных специалистов как источников качественной информации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ценную информацию и ценных участников от атак.</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Исключить влияние эффекта Даннинга-Крюгера на качество информационного пространства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Исполнители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Каждый участник может отдать 20 рекомендаций (признаний) в год в пользу других участников.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Квалификационный голод малых компаний</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19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Квалифицированные кадры не видят репутационной и карьерной привлекательности в вакансиях малых компаний на постоянной форме занятости (по причине повышенных финансовых рисков, невысокой карьерной целесообразности и недостаточной конкурентноспособности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13</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 w:name="JR_PAGE_ANCHOR_0_14"/>
            <w:bookmarkEnd w:id="13"/>
            <w:r>
              <w:rPr/>
              <w:drawing>
                <wp:inline distT="0" distB="0" distL="0" distR="0">
                  <wp:extent cx="7556500" cy="635000"/>
                  <wp:effectExtent l="0" t="0" r="0" b="0"/>
                  <wp:docPr id="898883700" name="Picture">
</wp:docPr>
                  <a:graphic>
                    <a:graphicData uri="http://schemas.openxmlformats.org/drawingml/2006/picture">
                      <pic:pic>
                        <pic:nvPicPr>
                          <pic:cNvPr id="89888370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зарплат)</w:t>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4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Количество голосов, требуемых для блокирования участника, должно учитывать уровень его квалификации.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Компенсировать зависимость исполнителя от оценки заказчика (на краткосрочном горизонте) введением зависимости от перспектив (на долгосрочном горизонте).</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Конкуренция сертификационных организаций склоняет их к достижению рыночной гегемонии путем формирования приоритета на количество выпущенных сертификатов в ущерб качеству.</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Консалтинг</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Конфликт интересов сертификационных организаций, финансирование которых находится в зависимости от количества претендентов и проданных курсов подготовки.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14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Любой эталон является планкой (барьером), очерчивающей горизонт развития. Взятие планки останавливает развитие, а не стимулирует. Это неприемлемо для таких наукоемких и постоянно эволюционирующих отраслей, как ИТ.</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Максимизировать объективность квалифицирования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Многие системы тестирования слабо защищены технически от обмана (например, допускают вмешательство в работу JavaScript кода web-страницы).</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Мотивировать участников к повышению качества публикуемой ими информации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Наделить высококвалифицированных специалистов мерами административного воздействия, например, предоставить право установления временного запрета на публикацию сообщений в тг-канале.</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14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Наличие эталона подразумевает монополию на компетентность, что вызывает вопрос доверия к ней. Нередко экзаменуемый демонстрирует большую компетентностью, нежели экзаменатор, что ограничивает развитие остальных уровнем экзаменатора.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Неизменяемый лог рекомендаций</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Неясные интерфейсы и именования требуют затрат времени на изучение реализации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Низкая эффективность грейдов на основе матриц компетентности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Низкое качество ПО</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14</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4" w:name="JR_PAGE_ANCHOR_0_15"/>
            <w:bookmarkEnd w:id="14"/>
            <w:r>
              <w:rPr/>
              <w:drawing>
                <wp:inline distT="0" distB="0" distL="0" distR="0">
                  <wp:extent cx="7556500" cy="635000"/>
                  <wp:effectExtent l="0" t="0" r="0" b="0"/>
                  <wp:docPr id="78973985" name="Picture">
</wp:docPr>
                  <a:graphic>
                    <a:graphicData uri="http://schemas.openxmlformats.org/drawingml/2006/picture">
                      <pic:pic>
                        <pic:nvPicPr>
                          <pic:cNvPr id="7897398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Новичкам не всегда понятно кого слушать, т.к. у них не сформированы критерии оценки.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19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квалификационную классификацию на основе хорошо зарекомендовавшего себя на практике алгоритма спортивной разрядности, где уровень мастерства спортсмена определяется относительно известного (т.е. доказанного) уровня мастерства других спортсменов.Т.е., по сути, методом сравнительного анализа.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максимальную полноту передачи (на основе принципа соразмерности) экспертности своих участников в представлениях экспертно-рекомендательных органов Организации.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 компетенциях (областях знаний) исполнителя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об уровне квалификации участников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прозрачность происхождения уровня квалификации и её аудируемость</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Одна рекомендация от участника претендуемого (или более высокого) квалификационного класса равноценна двум рекомендациям от участников текущего квалификационного класса.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Основанием для каждой рекомендации должен служить факт конкретного вклада участника в достижение целей Организации.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Отвлечение ресурсов времени специалистов на нерелевантные аспекты знаний в ущерб релевантным.</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Падение velocity. В основу метафоры "технический долг" положено правило "сложного процента", возрастающего в геометрической прогрессии.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Перерасход средств по стоимости разработки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Понижение уровня реиспользования кода, рост дубликатов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Поставщики услуг outsourcing marketplaces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Потребители услуг outsourcing marketplaces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предлагаемые артефакты могут проходить процедуру одобрения Комитетом Организации по его усмотрению.</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представление нанимателю данных об уровне экспертности члена Организации (по его желанию), выраженного конкретным опытом, ценность которого подтверждена другими членами Организации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Работодатели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Разные участники организации обладают различным уровнем экспертности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8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Рассматриваемый единовременно уровень сложности (Coupling) должен быть меньше ограничения краткосрочной памяти человека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15</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5" w:name="JR_PAGE_ANCHOR_0_16"/>
            <w:bookmarkEnd w:id="15"/>
            <w:r>
              <w:rPr/>
              <w:drawing>
                <wp:inline distT="0" distB="0" distL="0" distR="0">
                  <wp:extent cx="7556500" cy="635000"/>
                  <wp:effectExtent l="0" t="0" r="0" b="0"/>
                  <wp:docPr id="1126853225" name="Picture">
</wp:docPr>
                  <a:graphic>
                    <a:graphicData uri="http://schemas.openxmlformats.org/drawingml/2006/picture">
                      <pic:pic>
                        <pic:nvPicPr>
                          <pic:cNvPr id="11268532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(З-н магического числа 7 ± 2).</w:t>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Результат тестирования нередко можно купить или поделать.</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Рейтинги не дают представления о компетенциях исполнителя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Рекомендации от участников более низкого квалификационного класса не допускаются.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рекомендуемая трудоемкость одного артефакта на каждого его исполнителя должна составлять от 20 до 80 часов; маленькие артефакты рекомендуется группировать, большие - декомпозировать;</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Рост когнитивной нагрузки на практикующего специалиста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16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Самообразование и обретение опыта требуют затрат времени, поэтому грамотные специалисты стеснены в свободным времени, что зачастую приводит к гегемонии бескомпетентности в информационном пространстве экспертных сообществ - от этого страдает большинство технических пабликов.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14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Система рейтингов подрядных бирж отражает не уровень квалификации, а уровень лояльности исполнителя, ибо если бы заказчик был способен оценить компетентность, то он не обращался бы за этой компетентностью на биржу.</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Системы тестирования зачастую обросли шпаргалками, которые специалист может выучить за один-два вечера.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Сложность выбора квалифицированного исполнителя</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Сотрудники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Спам в пабликах</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Специалисты отрасти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Стесненностью ресурсов времени практикующих специалистов на освоение информации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Стимулировать развитие участников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Стоимость дорогих изменений образуется стоимостью каскадных изменений, которые образуются High Coupling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не отражает ни широты, на глубины знаний, ни способности специалиста применять эти знания на практике.</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Традиционные методы голосования не позволяют в полной мере отразить отразить экспертность в рекомендациях добровольных совещательных органов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10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Требуемые количества рекомендаций по квалификационным классам: эксперт - 20 рекомендаций Экспертов; кандидат в эксперты - 10 рекомендаций Кандидатов в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16</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6" w:name="JR_PAGE_ANCHOR_0_17"/>
            <w:bookmarkEnd w:id="16"/>
            <w:r>
              <w:rPr/>
              <w:drawing>
                <wp:inline distT="0" distB="0" distL="0" distR="0">
                  <wp:extent cx="7556500" cy="635000"/>
                  <wp:effectExtent l="0" t="0" r="0" b="0"/>
                  <wp:docPr id="99827309" name="Picture">
</wp:docPr>
                  <a:graphic>
                    <a:graphicData uri="http://schemas.openxmlformats.org/drawingml/2006/picture">
                      <pic:pic>
                        <pic:nvPicPr>
                          <pic:cNvPr id="998273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96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эксперты; 1 класс - 7 рекомендаций 1-го класса; 2 класс - 5 рекомендаций 2-го класса; 3 класс - 3 рекомендации 3-го класса; без класса - по умолчанию.</w:t>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Удовлетворение квалификационного голода малых компаний на основе нерегулярной частичной форме занятости высококвалифицированных специалистов (консалтинг).</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Укрепить репутацию экспертного сообщества</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72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Уровень зарплаты специалиста зачастую не коррелирует с реальным уровнем квалификации</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сообщества могут банить спамеров, используя, например, @banofbot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экспертных сообществ</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19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"There's a definite Dunning-Kruger effect for authors. The people who hold a ton of knowledge hesitate because they find their insights "obvious" or "nothing special". Then you have people who write a lot but do little real work that they could base their writing on..." -- Gregor Hohpe https://twitter.com/ghohpe/status/1332200805852606470?s=20</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7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17</w:t>
            </w:r>
          </w:p>
        </w:tc>
        <w:tc>
          <w:tcPr>
            <w:gridSpan w:val="2"/>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 w:name="JR_PAGE_ANCHOR_0_18"/>
            <w:bookmarkEnd w:id="17"/>
            <w:r>
              <w:rPr/>
              <w:drawing>
                <wp:inline distT="0" distB="0" distL="0" distR="0">
                  <wp:extent cx="7556500" cy="635000"/>
                  <wp:effectExtent l="0" t="0" r="0" b="0"/>
                  <wp:docPr id="1996248711" name="Picture">
</wp:docPr>
                  <a:graphic>
                    <a:graphicData uri="http://schemas.openxmlformats.org/drawingml/2006/picture">
                      <pic:pic>
                        <pic:nvPicPr>
                          <pic:cNvPr id="19962487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Business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AcceptArtifact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AnyMember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Artifact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ArtifactHasAlreadyBeenEndorsedForTheMember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ArtifactIsAccepted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ArtifactIsProposed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AvailableEndorsementsExceeded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Committee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Competence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CompleteEndorsement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EndorseArtifact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EndorsementCompleted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18</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 w:name="JR_PAGE_ANCHOR_0_19"/>
            <w:bookmarkEnd w:id="18"/>
            <w:r>
              <w:rPr/>
              <w:drawing>
                <wp:inline distT="0" distB="0" distL="0" distR="0">
                  <wp:extent cx="7556500" cy="635000"/>
                  <wp:effectExtent l="0" t="0" r="0" b="0"/>
                  <wp:docPr id="218770562" name="Picture">
</wp:docPr>
                  <a:graphic>
                    <a:graphicData uri="http://schemas.openxmlformats.org/drawingml/2006/picture">
                      <pic:pic>
                        <pic:nvPicPr>
                          <pic:cNvPr id="21877056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EndorsementReceived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EndorsementReleased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EndorsementReserved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GradeAssigned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Group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HigherGradeCan'tBeEndorsed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Member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Member 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Member 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Moderator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PendingArtifacts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ProposeArtifact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19</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 w:name="JR_PAGE_ANCHOR_0_20"/>
            <w:bookmarkEnd w:id="19"/>
            <w:r>
              <w:rPr/>
              <w:drawing>
                <wp:inline distT="0" distB="0" distL="0" distR="0">
                  <wp:extent cx="7556500" cy="635000"/>
                  <wp:effectExtent l="0" t="0" r="0" b="0"/>
                  <wp:docPr id="308316550" name="Picture">
</wp:docPr>
                  <a:graphic>
                    <a:graphicData uri="http://schemas.openxmlformats.org/drawingml/2006/picture">
                      <pic:pic>
                        <pic:nvPicPr>
                          <pic:cNvPr id="30831655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RecentArtifacts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ReleaseEndorsement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ReserveEndorsement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Role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SyncGrade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Team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Tenant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Агрегат</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Актор</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20</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 w:name="JR_PAGE_ANCHOR_0_21"/>
            <w:bookmarkEnd w:id="20"/>
            <w:r>
              <w:rPr/>
              <w:drawing>
                <wp:inline distT="0" distB="0" distL="0" distR="0">
                  <wp:extent cx="7556500" cy="635000"/>
                  <wp:effectExtent l="0" t="0" r="0" b="0"/>
                  <wp:docPr id="820117866" name="Picture">
</wp:docPr>
                  <a:graphic>
                    <a:graphicData uri="http://schemas.openxmlformats.org/drawingml/2006/picture">
                      <pic:pic>
                        <pic:nvPicPr>
                          <pic:cNvPr id="8201178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Доменное событие</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Запрос</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 (Query)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Команда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Модель Чтения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Политика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 (Policy)</w:t>
            </w:r>
          </w:p>
        </w:tc>
        <w:tc>
          <w:tcPr>
     </w:tcPr>
          <w:p>
            <w:pPr>
              <w:pStyle w:val="EMPTY_CELL_STYLE"/>
            </w:pPr>
          </w:p>
        </w:tc>
      </w:tr>
      <w:tr>
        <w:trPr>
          <w:trHeight w:hRule="exact" w:val="9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21</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 w:name="JR_PAGE_ANCHOR_0_22"/>
            <w:bookmarkEnd w:id="21"/>
            <w:r>
              <w:rPr/>
              <w:drawing>
                <wp:inline distT="0" distB="0" distL="0" distR="0">
                  <wp:extent cx="7556500" cy="635000"/>
                  <wp:effectExtent l="0" t="0" r="0" b="0"/>
                  <wp:docPr id="1956303740" name="Picture">
</wp:docPr>
                  <a:graphic>
                    <a:graphicData uri="http://schemas.openxmlformats.org/drawingml/2006/picture">
                      <pic:pic>
                        <pic:nvPicPr>
                          <pic:cNvPr id="195630374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Application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Another Aggregate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Another Service/System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Command (Hexagonal Port,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CommandHandler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DomainEvent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Expension Point Pipeline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Front Door Queue using message bus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Gateway (with Transactional Outbox)</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GOF Pattern Mediator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gRPC Hexagonal Adapter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Infrastructure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JSON-RPC Hexagonal Adapter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Kafka Subscriber Hexagonal Adapter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 w:name="JR_PAGE_ANCHOR_0_23"/>
            <w:bookmarkEnd w:id="22"/>
            <w:r>
              <w:rPr/>
              <w:drawing>
                <wp:inline distT="0" distB="0" distL="0" distR="0">
                  <wp:extent cx="7556500" cy="635000"/>
                  <wp:effectExtent l="0" t="0" r="0" b="0"/>
                  <wp:docPr id="934426842" name="Picture">
</wp:docPr>
                  <a:graphic>
                    <a:graphicData uri="http://schemas.openxmlformats.org/drawingml/2006/picture">
                      <pic:pic>
                        <pic:nvPicPr>
                          <pic:cNvPr id="93442684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Logging Pipeline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Mediator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Projection (Policy)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Query (Hexagonal Port,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QueryHandler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ReadModel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RepositoryImplementation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RepositoryInterface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REST-API Hexagonal Adapter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REST-API Hexagonal Adapter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REST-Endpoint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Send Integration Event (Policy)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Validation Pipeline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23</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 w:name="JR_PAGE_ANCHOR_0_24"/>
            <w:bookmarkEnd w:id="23"/>
            <w:r>
              <w:rPr/>
              <w:drawing>
                <wp:inline distT="0" distB="0" distL="0" distR="0">
                  <wp:extent cx="7556500" cy="635000"/>
                  <wp:effectExtent l="0" t="0" r="0" b="0"/>
                  <wp:docPr id="1318395825" name="Picture">
</wp:docPr>
                  <a:graphic>
                    <a:graphicData uri="http://schemas.openxmlformats.org/drawingml/2006/picture">
                      <pic:pic>
                        <pic:nvPicPr>
                          <pic:cNvPr id="13183958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WebHook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13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24</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4" w:name="JR_PAGE_ANCHOR_0_25"/>
            <w:bookmarkEnd w:id="24"/>
            <w:r>
              <w:rPr/>
              <w:drawing>
                <wp:inline distT="0" distB="0" distL="0" distR="0">
                  <wp:extent cx="7556500" cy="635000"/>
                  <wp:effectExtent l="0" t="0" r="0" b="0"/>
                  <wp:docPr id="1813742285" name="Picture">
</wp:docPr>
                  <a:graphic>
                    <a:graphicData uri="http://schemas.openxmlformats.org/drawingml/2006/picture">
                      <pic:pic>
                        <pic:nvPicPr>
                          <pic:cNvPr id="181374228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Technology &amp; Physical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 Dead Letter Channel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 Message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 Queue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 Reply Channel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 Topic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Bytes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HTTP-Request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HTTP-Request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HTTP-Response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Integration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JSON-Object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ReadModel Database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WriteModel DataBase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Интеграционное событие</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5" w:name="JR_PAGE_ANCHOR_0_26"/>
            <w:bookmarkEnd w:id="25"/>
            <w:r>
              <w:rPr/>
              <w:drawing>
                <wp:inline distT="0" distB="0" distL="0" distR="0">
                  <wp:extent cx="7556500" cy="635000"/>
                  <wp:effectExtent l="0" t="0" r="0" b="0"/>
                  <wp:docPr id="916100517" name="Picture">
</wp:docPr>
                  <a:graphic>
                    <a:graphicData uri="http://schemas.openxmlformats.org/drawingml/2006/picture">
                      <pic:pic>
                        <pic:nvPicPr>
                          <pic:cNvPr id="91610051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Сообщение Команды</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 (Command)</w:t>
            </w:r>
          </w:p>
        </w:tc>
        <w:tc>
          <w:tcPr>
     </w:tcPr>
          <w:p>
            <w:pPr>
              <w:pStyle w:val="EMPTY_CELL_STYLE"/>
            </w:pPr>
          </w:p>
        </w:tc>
      </w:tr>
      <w:tr>
        <w:trPr>
          <w:trHeight w:hRule="exact" w:val="13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26</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6" w:name="JR_PAGE_ANCHOR_0_27"/>
            <w:bookmarkEnd w:id="26"/>
            <w:r>
              <w:rPr/>
              <w:drawing>
                <wp:inline distT="0" distB="0" distL="0" distR="0">
                  <wp:extent cx="7556500" cy="635000"/>
                  <wp:effectExtent l="0" t="0" r="0" b="0"/>
                  <wp:docPr id="594233924" name="Picture">
</wp:docPr>
                  <a:graphic>
                    <a:graphicData uri="http://schemas.openxmlformats.org/drawingml/2006/picture">
                      <pic:pic>
                        <pic:nvPicPr>
                          <pic:cNvPr id="59423392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Motivation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"So, design ≈ cost ≈ change ≈ big change ≈ coupling. Transitively, software design ≈ managing coupling." -- Kent Beck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@banofbot может быть использован для атаки против ценных участников сообщества и необратимого уничтожения их информации в паблике.</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Constraint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Driver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Goal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Stakeholder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Адресовать запросы в первую очередь к участникам, обладающим наивысшим уровнем экспертности, выраженной конкретным опытом, ценность которого подтверждена другими членами организации.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Артефакты должны классифицироваться по компетенциям</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В процессе конструирования кода, 91% времени (в лучшем случае) занимает именно чтение кода и борьба со сложностью (каждым разработчиком постоянно), и только 9% времени (1:10) занимает ввод символов с клавиатуры (одним разработчиком единократно)</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В экспертные сообщества нередко обращаются за услугами консалтинга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27</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7" w:name="JR_PAGE_ANCHOR_0_28"/>
            <w:bookmarkEnd w:id="27"/>
            <w:r>
              <w:rPr/>
              <w:drawing>
                <wp:inline distT="0" distB="0" distL="0" distR="0">
                  <wp:extent cx="7556500" cy="635000"/>
                  <wp:effectExtent l="0" t="0" r="0" b="0"/>
                  <wp:docPr id="1789552525" name="Picture">
</wp:docPr>
                  <a:graphic>
                    <a:graphicData uri="http://schemas.openxmlformats.org/drawingml/2006/picture">
                      <pic:pic>
                        <pic:nvPicPr>
                          <pic:cNvPr id="17895525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Ввести внутреннюю систему ценностей в виде квалификационной классности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4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вклад и квалификация члена Организации оцениваются одновременно и неразрывно, как и неразрывны теория с практикой; вклад не обязан быть кем-то оцененным, если он не отражает квалификацию исполнителя в виде конкретной ценности для достижения уставных целей Организации, а без практического вклада оценить отдельно квалификацию система тоже не позволяет; рекомендация означает признание экспертности члена Организации, выраженной на примере конкретного практического опыта, другими членами Организации.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Восстановить процентное содержание качественной информации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Высокая стоимость внемения изменения в реализацию</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Голос участника опроса должен учитываться с учетом весового коэффициента его квалификационного класса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Грамотные специалисты не всегда спешат ввязываться во флейм с малограмотными оппонентами. Зачастую это приводит к их демотивации и самоустранению из пабликов.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Демотивация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Дисбаланс в пользу краткосрочных бизнес-интересов в ущерб долгосрочным техническим интересам (Spaghetti code)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https://dckms.github.io/system-architecture/emacsway/it/sdlc/models/agile/analysis/concerns/balancing-business-technical-concerns.html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Допускается одна рекомендация рекомендующего за один конкретный артефакт рекомендуемого.</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28</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8" w:name="JR_PAGE_ANCHOR_0_29"/>
            <w:bookmarkEnd w:id="28"/>
            <w:r>
              <w:rPr/>
              <w:drawing>
                <wp:inline distT="0" distB="0" distL="0" distR="0">
                  <wp:extent cx="7556500" cy="635000"/>
                  <wp:effectExtent l="0" t="0" r="0" b="0"/>
                  <wp:docPr id="2000630624" name="Picture">
</wp:docPr>
                  <a:graphic>
                    <a:graphicData uri="http://schemas.openxmlformats.org/drawingml/2006/picture">
                      <pic:pic>
                        <pic:nvPicPr>
                          <pic:cNvPr id="200063062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Дросселировать информацию от участников с невысоким уровнем квалификации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Зависимое положение исполнителя от оценки/рекомендации заказчика.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Заказчик не осведомлен об объективной квалификации исполнителя.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Заказчики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Закоммерциализированные сертификаты зачастую не отражают реальный уровень квалификации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Захламленность информационного пространства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Защитить социальное положение грамотных специалистов как источников качественной информации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Защитить ценную информацию и ценных участников от атак.</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Исключить влияние эффекта Даннинга-Крюгера на качество информационного пространства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Исполнители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Каждый участник может отдать 20 рекомендаций (признаний) в год в пользу других участников.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Квалификационный голод малых компаний</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4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Квалифицированные кадры не видят репутационной и карьерной привлекательности в вакансиях малых компаний на постоянной форме занятости (по причине повышенных финансовых рисков, невысокой карьерной целесообразности и недостаточной конкурентноспособности </w:t>
            </w: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29</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9" w:name="JR_PAGE_ANCHOR_0_30"/>
            <w:bookmarkEnd w:id="29"/>
            <w:r>
              <w:rPr/>
              <w:drawing>
                <wp:inline distT="0" distB="0" distL="0" distR="0">
                  <wp:extent cx="7556500" cy="635000"/>
                  <wp:effectExtent l="0" t="0" r="0" b="0"/>
                  <wp:docPr id="159116975" name="Picture">
</wp:docPr>
                  <a:graphic>
                    <a:graphicData uri="http://schemas.openxmlformats.org/drawingml/2006/picture">
                      <pic:pic>
                        <pic:nvPicPr>
                          <pic:cNvPr id="15911697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зарплат)</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Количество голосов, требуемых для блокирования участника, должно учитывать уровень его квалификации.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Компенсировать зависимость исполнителя от оценки заказчика (на краткосрочном горизонте) введением зависимости от перспектив (на долгосрочном горизонте).</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Конкуренция сертификационных организаций склоняет их к достижению рыночной гегемонии путем формирования приоритета на количество выпущенных сертификатов в ущерб качеству.</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Консалтинг</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Конфликт интересов сертификационных организаций, финансирование которых находится в зависимости от количества претендентов и проданных курсов подготовки.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Любой эталон является планкой (барьером), очерчивающей горизонт развития. Взятие планки останавливает развитие, а не стимулирует. Это неприемлемо для таких наукоемких и постоянно эволюционирующих отраслей, как ИТ.</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Максимизировать объективность квалифицирования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Многие системы тестирования слабо защищены технически от обмана (например, допускают вмешательство в работу JavaScript кода web-страницы).</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6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30</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0" w:name="JR_PAGE_ANCHOR_0_31"/>
            <w:bookmarkEnd w:id="30"/>
            <w:r>
              <w:rPr/>
              <w:drawing>
                <wp:inline distT="0" distB="0" distL="0" distR="0">
                  <wp:extent cx="7556500" cy="635000"/>
                  <wp:effectExtent l="0" t="0" r="0" b="0"/>
                  <wp:docPr id="1429530353" name="Picture">
</wp:docPr>
                  <a:graphic>
                    <a:graphicData uri="http://schemas.openxmlformats.org/drawingml/2006/picture">
                      <pic:pic>
                        <pic:nvPicPr>
                          <pic:cNvPr id="142953035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Мотивировать участников к повышению качества публикуемой ими информации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Наделить высококвалифицированных специалистов мерами административного воздействия, например, предоставить право установления временного запрета на публикацию сообщений в тг-канале.</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Наличие эталона подразумевает монополию на компетентность, что вызывает вопрос доверия к ней. Нередко экзаменуемый демонстрирует большую компетентностью, нежели экзаменатор, что ограничивает развитие остальных уровнем экзаменатора.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Неизменяемый лог рекомендаций</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Неясные интерфейсы и именования требуют затрат времени на изучение реализации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Низкая эффективность грейдов на основе матриц компетентности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Низкое качество ПО</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Новичкам не всегда понятно кого слушать, т.к. у них не сформированы критерии оценки.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5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Обеспечить квалификационную классификацию на основе хорошо зарекомендовавшего себя на практике алгоритма спортивной разрядности, где уровень мастерства спортсмена определяется относительно известного (т.е. доказанного) уровня мастерства других спортсменов.Т.е., по сути, методом сравнительного анализа.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Обеспечить максимальную полноту передачи (на основе принципа соразмерности) экспертности своих участников в представлениях экспертно-рекомендательных органов Организации.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6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31</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1" w:name="JR_PAGE_ANCHOR_0_32"/>
            <w:bookmarkEnd w:id="31"/>
            <w:r>
              <w:rPr/>
              <w:drawing>
                <wp:inline distT="0" distB="0" distL="0" distR="0">
                  <wp:extent cx="7556500" cy="635000"/>
                  <wp:effectExtent l="0" t="0" r="0" b="0"/>
                  <wp:docPr id="413168155" name="Picture">
</wp:docPr>
                  <a:graphic>
                    <a:graphicData uri="http://schemas.openxmlformats.org/drawingml/2006/picture">
                      <pic:pic>
                        <pic:nvPicPr>
                          <pic:cNvPr id="41316815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Обеспечить представление о компетенциях (областях знаний) исполнителя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Обеспечить представление об уровне квалификации участников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Обеспечить прозрачность происхождения уровня квалификации и её аудируемость</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Одна рекомендация от участника претендуемого (или более высокого) квалификационного класса равноценна двум рекомендациям от участников текущего квалификационного класса.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Основанием для каждой рекомендации должен служить факт конкретного вклада участника в достижение целей Организации.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Отвлечение ресурсов времени специалистов на нерелевантные аспекты знаний в ущерб релевантным.</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Падение velocity. В основу метафоры "технический долг" положено правило "сложного процента", возрастающего в геометрической прогрессии.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Перерасход средств по стоимости разработки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Понижение уровня реиспользования кода, рост дубликатов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Поставщики услуг outsourcing marketplaces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Потребители услуг outsourcing marketplaces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предлагаемые артефакты могут проходить процедуру одобрения Комитетом Организации по его усмотрению.</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4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2" w:name="JR_PAGE_ANCHOR_0_33"/>
            <w:bookmarkEnd w:id="32"/>
            <w:r>
              <w:rPr/>
              <w:drawing>
                <wp:inline distT="0" distB="0" distL="0" distR="0">
                  <wp:extent cx="7556500" cy="635000"/>
                  <wp:effectExtent l="0" t="0" r="0" b="0"/>
                  <wp:docPr id="527372258" name="Picture">
</wp:docPr>
                  <a:graphic>
                    <a:graphicData uri="http://schemas.openxmlformats.org/drawingml/2006/picture">
                      <pic:pic>
                        <pic:nvPicPr>
                          <pic:cNvPr id="5273722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представление нанимателю данных об уровне экспертности члена Организации (по его желанию), выраженного конкретным опытом, ценность которого подтверждена другими членами Организации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Работодатели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Разные участники организации обладают различным уровнем экспертности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Рассматриваемый единовременно уровень сложности (Coupling) должен быть меньше ограничения краткосрочной памяти человека (З-н магического числа 7 ±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Результат тестирования нередко можно купить или поделать.</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Рейтинги не дают представления о компетенциях исполнителя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Рекомендации от участников более низкого квалификационного класса не допускаются.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рекомендуемая трудоемкость одного артефакта на каждого его исполнителя должна составлять от 20 до 80 часов; маленькие артефакты рекомендуется группировать, большие - декомпозировать;</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Рост когнитивной нагрузки на практикующего специалиста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5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Самообразование и обретение опыта требуют затрат времени, поэтому грамотные специалисты стеснены в свободным времени, что зачастую приводит к гегемонии бескомпетентности в информационном пространстве экспертных сообществ - от этого страдает большинство технических пабликов.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6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Система рейтингов подрядных бирж отражает не уровень квалификации, а уровень лояльности исполнителя, ибо если бы заказчик был способен оценить компетентность, то он не обращался бы за этой </w:t>
            </w: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33</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3" w:name="JR_PAGE_ANCHOR_0_34"/>
            <w:bookmarkEnd w:id="33"/>
            <w:r>
              <w:rPr/>
              <w:drawing>
                <wp:inline distT="0" distB="0" distL="0" distR="0">
                  <wp:extent cx="7556500" cy="635000"/>
                  <wp:effectExtent l="0" t="0" r="0" b="0"/>
                  <wp:docPr id="179437727" name="Picture">
</wp:docPr>
                  <a:graphic>
                    <a:graphicData uri="http://schemas.openxmlformats.org/drawingml/2006/picture">
                      <pic:pic>
                        <pic:nvPicPr>
                          <pic:cNvPr id="1794377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компетентностью на биржу.</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Системы тестирования зачастую обросли шпаргалками, которые специалист может выучить за один-два вечера.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Сложность выбора квалифицированного исполнителя</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Сотрудники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Спам в пабликах</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Специалисты отрасти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Стесненностью ресурсов времени практикующих специалистов на освоение информации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Стимулировать развитие участников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Стоимость дорогих изменений образуется стоимостью каскадных изменений, которые образуются High Coupling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Тестирование не отражает ни широты, на глубины знаний, ни способности специалиста применять эти знания на практике.</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Традиционные методы голосования не позволяют в полной мере отразить отразить экспертность в рекомендациях добровольных совещательных органов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9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34</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4" w:name="JR_PAGE_ANCHOR_0_35"/>
            <w:bookmarkEnd w:id="34"/>
            <w:r>
              <w:rPr/>
              <w:drawing>
                <wp:inline distT="0" distB="0" distL="0" distR="0">
                  <wp:extent cx="7556500" cy="635000"/>
                  <wp:effectExtent l="0" t="0" r="0" b="0"/>
                  <wp:docPr id="1106755629" name="Picture">
</wp:docPr>
                  <a:graphic>
                    <a:graphicData uri="http://schemas.openxmlformats.org/drawingml/2006/picture">
                      <pic:pic>
                        <pic:nvPicPr>
                          <pic:cNvPr id="110675562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5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Требуемые количества рекомендаций по квалификационным классам: эксперт - 20 рекомендаций Экспертов; кандидат в эксперты - 10 рекомендаций Кандидатов в эксперты; 1 класс - 7 рекомендаций 1-го класса; 2 класс - 5 рекомендаций 2-го класса; 3 класс - 3 рекомендации 3-го класса; без класса - по умолчанию.</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Удовлетворение квалификационного голода малых компаний на основе нерегулярной частичной форме занятости высококвалифицированных специалистов (консалтинг).</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Укрепить репутацию экспертного сообщества</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Уровень зарплаты специалиста зачастую не коррелирует с реальным уровнем квалификации</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Ухудшение внутреннего качества программы</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Участники сообщества могут банить спамеров, используя, например, @banofbot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https://github.com/backmeupplz/banofbot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Участники экспертных сообществ</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50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 "There's a definite Dunning-Kruger effect for authors. The people who hold a ton of knowledge hesitate because they find their insights "obvious" or "nothing special". Then you have people who write a lot but do little real work that they could base their writing on..." -- Gregor Hohpe https://twitter.com/ghohpe/status/1332200805852606470?s=20</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 https://twitter.com/ghohpe/status/1332200805852606470?s=20</w:t>
              <w:br/>
              <w:br/>
              <w:t xml:space="preserve">- https://ru.wikipedia.org/wiki/%D0%AD%D1%84%D1%84%D0%B5%D0%BA%D1%82_%D0%94%D0%B0%D0%BD%D0%BD%D0%B8%D0%BD%D0%B3%D0%B0_%E2%80%94_%D0%9A%D1%80%D1%8E%D0%B3%D0%B5%D1%80%D0%B0</w:t>
              <w:br/>
            </w:r>
          </w:p>
        </w:tc>
        <w:tc>
          <w:tcPr>
     </w:tcPr>
          <w:p>
            <w:pPr>
              <w:pStyle w:val="EMPTY_CELL_STYLE"/>
            </w:pPr>
          </w:p>
        </w:tc>
      </w:tr>
      <w:tr>
        <w:trPr>
          <w:trHeight w:hRule="exact" w:val="1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5" w:name="JR_PAGE_ANCHOR_0_36"/>
            <w:bookmarkEnd w:id="35"/>
            <w:r>
              <w:rPr/>
              <w:drawing>
                <wp:inline distT="0" distB="0" distL="0" distR="0">
                  <wp:extent cx="7556500" cy="635000"/>
                  <wp:effectExtent l="0" t="0" r="0" b="0"/>
                  <wp:docPr id="1792864345" name="Picture">
</wp:docPr>
                  <a:graphic>
                    <a:graphicData uri="http://schemas.openxmlformats.org/drawingml/2006/picture">
                      <pic:pic>
                        <pic:nvPicPr>
                          <pic:cNvPr id="17928643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Other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Domain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Grade BC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Identity BC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36</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6" w:name="JR_PAGE_ANCHOR_0_37"/>
            <w:bookmarkEnd w:id="36"/>
            <w:r>
              <w:rPr/>
              <w:drawing>
                <wp:inline distT="0" distB="0" distL="0" distR="0">
                  <wp:extent cx="7556500" cy="635000"/>
                  <wp:effectExtent l="0" t="0" r="0" b="0"/>
                  <wp:docPr id="155833159" name="Picture">
</wp:docPr>
                  <a:graphic>
                    <a:graphicData uri="http://schemas.openxmlformats.org/drawingml/2006/picture">
                      <pic:pic>
                        <pic:nvPicPr>
                          <pic:cNvPr id="1558331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Project Management BC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Telegram BC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Voting BC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10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37</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7" w:name="JR_PAGE_ANCHOR_0_38"/>
            <w:bookmarkEnd w:id="37"/>
            <w:r>
              <w:rPr/>
              <w:drawing>
                <wp:inline distT="0" distB="0" distL="0" distR="0">
                  <wp:extent cx="7556500" cy="635000"/>
                  <wp:effectExtent l="0" t="0" r="0" b="0"/>
                  <wp:docPr id="1146848727" name="Picture">
</wp:docPr>
                  <a:graphic>
                    <a:graphicData uri="http://schemas.openxmlformats.org/drawingml/2006/picture">
                      <pic:pic>
                        <pic:nvPicPr>
                          <pic:cNvPr id="11468487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Relations</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PendingArtifacts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Influence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Influence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 процессе конструирования кода, 91% времени (в лучшем случае) занимает именно чтение кода и борьба со сложностью (каждым разработчиком постоянно), и только 9% времени (1:10) занимает ввод символов с клавиатуры (одним разработчиком единократно)</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GradeAssigned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сообщества могут банить спамеров, используя, например, @banofbot</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Спам в пабликах</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38</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8" w:name="JR_PAGE_ANCHOR_0_39"/>
            <w:bookmarkEnd w:id="38"/>
            <w:r>
              <w:rPr/>
              <w:drawing>
                <wp:inline distT="0" distB="0" distL="0" distR="0">
                  <wp:extent cx="7556500" cy="635000"/>
                  <wp:effectExtent l="0" t="0" r="0" b="0"/>
                  <wp:docPr id="689471568" name="Picture">
</wp:docPr>
                  <a:graphic>
                    <a:graphicData uri="http://schemas.openxmlformats.org/drawingml/2006/picture">
                      <pic:pic>
                        <pic:nvPicPr>
                          <pic:cNvPr id="6894715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Policy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Aggregate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Заказчик не осведомлен об объективной квалификации исполнителя.</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Стоимость дорогих изменений образуется стоимостью каскадных изменений, которые образуются High Coupling</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Перерасход средств по стоимости разработки</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Потребители услуг outsourcing marketplaces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Сообщение Команды</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Команда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Subscriber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Message</w:t>
            </w:r>
          </w:p>
        </w:tc>
        <w:tc>
          <w:tcPr>
     </w:tcPr>
          <w:p>
            <w:pPr>
              <w:pStyle w:val="EMPTY_CELL_STYLE"/>
            </w:pPr>
          </w:p>
        </w:tc>
      </w:tr>
      <w:tr>
        <w:trPr>
          <w:trHeight w:hRule="exact" w:val="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39</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9" w:name="JR_PAGE_ANCHOR_0_40"/>
            <w:bookmarkEnd w:id="39"/>
            <w:r>
              <w:rPr/>
              <w:drawing>
                <wp:inline distT="0" distB="0" distL="0" distR="0">
                  <wp:extent cx="7556500" cy="635000"/>
                  <wp:effectExtent l="0" t="0" r="0" b="0"/>
                  <wp:docPr id="1696963667" name="Picture">
</wp:docPr>
                  <a:graphic>
                    <a:graphicData uri="http://schemas.openxmlformats.org/drawingml/2006/picture">
                      <pic:pic>
                        <pic:nvPicPr>
                          <pic:cNvPr id="169696366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QueryHandler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Aggregate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EndorsementReleased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B</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Topic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Запрос</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Модель Чтения</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40</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0" w:name="JR_PAGE_ANCHOR_0_41"/>
            <w:bookmarkEnd w:id="40"/>
            <w:r>
              <w:rPr/>
              <w:drawing>
                <wp:inline distT="0" distB="0" distL="0" distR="0">
                  <wp:extent cx="7556500" cy="635000"/>
                  <wp:effectExtent l="0" t="0" r="0" b="0"/>
                  <wp:docPr id="1813976543" name="Picture">
</wp:docPr>
                  <a:graphic>
                    <a:graphicData uri="http://schemas.openxmlformats.org/drawingml/2006/picture">
                      <pic:pic>
                        <pic:nvPicPr>
                          <pic:cNvPr id="181397654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ArtifactIsProposed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96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Компенсировать зависимость исполнителя от оценки заказчика (на краткосрочном горизонте) введением зависимости от перспектив (на долгосрочном горизонте).</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96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Конкуренция сертификационных организаций склоняет их к достижению рыночной гегемонии путем формирования приоритета на количество выпущенных сертификатов в ущерб качеству.</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Закоммерциализированные сертификаты зачастую не отражают реальный уровень квалификации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Голос участника опроса должен учитываться с учетом весового коэффициента его квалификационного класса</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максимальную полноту передачи (на основе принципа соразмерности) экспертности своих участников в представлениях экспертно-рекомендательных органов Организации.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Bytes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PendingArtifacts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41</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1" w:name="JR_PAGE_ANCHOR_0_42"/>
            <w:bookmarkEnd w:id="41"/>
            <w:r>
              <w:rPr/>
              <w:drawing>
                <wp:inline distT="0" distB="0" distL="0" distR="0">
                  <wp:extent cx="7556500" cy="635000"/>
                  <wp:effectExtent l="0" t="0" r="0" b="0"/>
                  <wp:docPr id="1744369062" name="Picture">
</wp:docPr>
                  <a:graphic>
                    <a:graphicData uri="http://schemas.openxmlformats.org/drawingml/2006/picture">
                      <pic:pic>
                        <pic:nvPicPr>
                          <pic:cNvPr id="174436906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ArtifactIsAccepted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CommandHandler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Mediator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GOF Pattern Mediator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Мотивировать участников к повышению качества публикуемой ими информации</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Самообразование и обретение опыта требуют затрат времени, поэтому грамотные специалисты стеснены в свободным времени, что зачастую приводит к гегемонии бескомпетентности в информационном пространстве экспертных сообществ - от этого страдает большинство технических пабликов.</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Dead Letter Channel</w:t>
            </w:r>
          </w:p>
        </w:tc>
        <w:tc>
          <w:tcPr>
     </w:tcPr>
          <w:p>
            <w:pPr>
              <w:pStyle w:val="EMPTY_CELL_STYLE"/>
            </w:pPr>
          </w:p>
        </w:tc>
      </w:tr>
      <w:tr>
        <w:trPr>
          <w:trHeight w:hRule="exact" w:val="7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2" w:name="JR_PAGE_ANCHOR_0_43"/>
            <w:bookmarkEnd w:id="42"/>
            <w:r>
              <w:rPr/>
              <w:drawing>
                <wp:inline distT="0" distB="0" distL="0" distR="0">
                  <wp:extent cx="7556500" cy="635000"/>
                  <wp:effectExtent l="0" t="0" r="0" b="0"/>
                  <wp:docPr id="1207950266" name="Picture">
</wp:docPr>
                  <a:graphic>
                    <a:graphicData uri="http://schemas.openxmlformats.org/drawingml/2006/picture">
                      <pic:pic>
                        <pic:nvPicPr>
                          <pic:cNvPr id="12079502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Front Door Queue using message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Expension Point Pipeline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Mediator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JSON-RPC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Многие системы тестирования слабо защищены технически от обмана (например, допускают вмешательство в работу JavaScript кода web-страницы).</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JSON-RPC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GOF Pattern Mediator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43</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3" w:name="JR_PAGE_ANCHOR_0_44"/>
            <w:bookmarkEnd w:id="43"/>
            <w:r>
              <w:rPr/>
              <w:drawing>
                <wp:inline distT="0" distB="0" distL="0" distR="0">
                  <wp:extent cx="7556500" cy="635000"/>
                  <wp:effectExtent l="0" t="0" r="0" b="0"/>
                  <wp:docPr id="1227653431" name="Picture">
</wp:docPr>
                  <a:graphic>
                    <a:graphicData uri="http://schemas.openxmlformats.org/drawingml/2006/picture">
                      <pic:pic>
                        <pic:nvPicPr>
                          <pic:cNvPr id="12276534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Сотрудники</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Специалисты отрасти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QueryHandler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Доменное событие</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Политика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RepositoryImplementation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WriteModel DataBase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Reply Channel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Mediator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Front Door Queue using message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Консалтинг</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Удовлетворение квалификационного голода малых компаний на основе нерегулярной частичной форме занятости высококвалифицированных специалистов (консалтинг).</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Заказчик не осведомлен об объективной квалификации исполнителя.</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Сложность выбора квалифицированного исполнителя</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Рост когнитивной нагрузки на практикующего специалиста</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экспертных сообществ</w:t>
            </w:r>
          </w:p>
        </w:tc>
        <w:tc>
          <w:tcPr>
     </w:tcPr>
          <w:p>
            <w:pPr>
              <w:pStyle w:val="EMPTY_CELL_STYLE"/>
            </w:pPr>
          </w:p>
        </w:tc>
      </w:tr>
      <w:tr>
        <w:trPr>
          <w:trHeight w:hRule="exact" w:val="2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44</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4" w:name="JR_PAGE_ANCHOR_0_45"/>
            <w:bookmarkEnd w:id="44"/>
            <w:r>
              <w:rPr/>
              <w:drawing>
                <wp:inline distT="0" distB="0" distL="0" distR="0">
                  <wp:extent cx="7556500" cy="635000"/>
                  <wp:effectExtent l="0" t="0" r="0" b="0"/>
                  <wp:docPr id="1877334646" name="Picture">
</wp:docPr>
                  <a:graphic>
                    <a:graphicData uri="http://schemas.openxmlformats.org/drawingml/2006/picture">
                      <pic:pic>
                        <pic:nvPicPr>
                          <pic:cNvPr id="187733464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gRPC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ArtifactIsAccepted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Pipeline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Expension Point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Наличие эталона подразумевает монополию на компетентность, что вызывает вопрос доверия к ней. Нередко экзаменуемый демонстрирует большую компетентностью, нежели экзаменатор, что ограничивает развитие остальных уровнем экзаменатора.</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ProposeArtifact</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Основанием для каждой рекомендации должен служить факт конкретного вклада участника в достижение целей Организации.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Исключить влияние эффекта Даннинга-Крюгера на качество информационного пространства</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"There's a definite Dunning-Kruger effect for authors. The people who hold a ton of knowledge hesitate because they find their insights "obvious" or "nothing special". Then you have people who write a lot but do little real work that they could base their writing on..." -- Gregor Hohpe https://twitter.com/ghohpe/status/1332200805852606470?s=20</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9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5" w:name="JR_PAGE_ANCHOR_0_46"/>
            <w:bookmarkEnd w:id="45"/>
            <w:r>
              <w:rPr/>
              <w:drawing>
                <wp:inline distT="0" distB="0" distL="0" distR="0">
                  <wp:extent cx="7556500" cy="635000"/>
                  <wp:effectExtent l="0" t="0" r="0" b="0"/>
                  <wp:docPr id="243156317" name="Picture">
</wp:docPr>
                  <a:graphic>
                    <a:graphicData uri="http://schemas.openxmlformats.org/drawingml/2006/picture">
                      <pic:pic>
                        <pic:nvPicPr>
                          <pic:cNvPr id="24315631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96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Одна рекомендация от участника претендуемого (или более высокого) квалификационного класса равноценна двум рекомендациям от участников текущего квалификационного класса.</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gRPC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Bytes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HigherGradeCan'tBeEndorsed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Layer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DomainEvent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GradeAssigned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ProposeArtifact</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рекомендуемая трудоемкость одного артефакта на каждого его исполнителя должна составлять от 20 до 80 часов; маленькие артефакты рекомендуется группировать, большие - декомпозировать;</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 экспертные сообщества нередко обращаются за услугами </w:t>
            </w:r>
          </w:p>
        </w:tc>
        <w:tc>
          <w:tcPr>
     </w:tcPr>
          <w:p>
            <w:pPr>
              <w:pStyle w:val="EMPTY_CELL_STYLE"/>
            </w:pPr>
          </w:p>
        </w:tc>
      </w:tr>
      <w:tr>
        <w:trPr>
          <w:trHeight w:hRule="exact" w:val="1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46</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6" w:name="JR_PAGE_ANCHOR_0_47"/>
            <w:bookmarkEnd w:id="46"/>
            <w:r>
              <w:rPr/>
              <w:drawing>
                <wp:inline distT="0" distB="0" distL="0" distR="0">
                  <wp:extent cx="7556500" cy="635000"/>
                  <wp:effectExtent l="0" t="0" r="0" b="0"/>
                  <wp:docPr id="1693375960" name="Picture">
</wp:docPr>
                  <a:graphic>
                    <a:graphicData uri="http://schemas.openxmlformats.org/drawingml/2006/picture">
                      <pic:pic>
                        <pic:nvPicPr>
                          <pic:cNvPr id="16933759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консалтинга</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Консалтинг</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Integration Event (Policy)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Gateway (with Transactional Outbox)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Укрепить репутацию экспертного сообщества</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 экспертные сообщества нередко обращаются за услугами консалтинга</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социальное положение грамотных специалистов как источников качественной информации</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Грамотные специалисты не всегда спешат ввязываться во флейм с малограмотными оппонентами. Зачастую это приводит к их демотивации и самоустранению из пабликов.</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ArtifactHasAlreadyBeenEndorsedForTheMember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ReleaseEndorsement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Competence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AvailableEndorsementsExceeded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47</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7" w:name="JR_PAGE_ANCHOR_0_48"/>
            <w:bookmarkEnd w:id="47"/>
            <w:r>
              <w:rPr/>
              <w:drawing>
                <wp:inline distT="0" distB="0" distL="0" distR="0">
                  <wp:extent cx="7556500" cy="635000"/>
                  <wp:effectExtent l="0" t="0" r="0" b="0"/>
                  <wp:docPr id="1564494396" name="Picture">
</wp:docPr>
                  <a:graphic>
                    <a:graphicData uri="http://schemas.openxmlformats.org/drawingml/2006/picture">
                      <pic:pic>
                        <pic:nvPicPr>
                          <pic:cNvPr id="15644943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Голос участника опроса должен учитываться с учетом весового коэффициента его квалификационного класса</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ценную информацию и ценных участников от атак.</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Influence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Influence relation</w:t>
            </w:r>
          </w:p>
        </w:tc>
        <w:tc>
          <w:tcPr>
     </w:tcPr>
          <w:p>
            <w:pPr>
              <w:pStyle w:val="EMPTY_CELL_STYLE"/>
            </w:pPr>
          </w:p>
        </w:tc>
      </w:tr>
      <w:tr>
        <w:trPr>
          <w:trHeight w:hRule="exact" w:val="72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Падение velocity. В основу метафоры "технический долг" положено правило "сложного процента", возрастающего в геометрической прогрессии.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Высокая стоимость внемения изменения в реализацию</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Низкое качество ПО</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Демотивация</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RepositoryImplementation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48</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8" w:name="JR_PAGE_ANCHOR_0_49"/>
            <w:bookmarkEnd w:id="48"/>
            <w:r>
              <w:rPr/>
              <w:drawing>
                <wp:inline distT="0" distB="0" distL="0" distR="0">
                  <wp:extent cx="7556500" cy="635000"/>
                  <wp:effectExtent l="0" t="0" r="0" b="0"/>
                  <wp:docPr id="1247338729" name="Picture">
</wp:docPr>
                  <a:graphic>
                    <a:graphicData uri="http://schemas.openxmlformats.org/drawingml/2006/picture">
                      <pic:pic>
                        <pic:nvPicPr>
                          <pic:cNvPr id="124733872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Высокая стоимость внемения изменения в реализацию</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Перерасход средств по стоимости разработки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Команда</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Доменное событие</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12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Самообразование и обретение опыта требуют затрат времени, поэтому грамотные специалисты стеснены в свободным времени, что зачастую приводит к гегемонии бескомпетентности в информационном пространстве экспертных сообществ - от этого страдает большинство технических пабликов.</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Захламленность информационного пространства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Агрегат</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AvailableEndorsementsExceeded</w:t>
            </w:r>
          </w:p>
        </w:tc>
        <w:tc>
          <w:tcPr>
     </w:tcPr>
          <w:p>
            <w:pPr>
              <w:pStyle w:val="EMPTY_CELL_STYLE"/>
            </w:pPr>
          </w:p>
        </w:tc>
      </w:tr>
      <w:tr>
        <w:trPr>
          <w:trHeight w:hRule="exact" w:val="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49</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9" w:name="JR_PAGE_ANCHOR_0_50"/>
            <w:bookmarkEnd w:id="49"/>
            <w:r>
              <w:rPr/>
              <w:drawing>
                <wp:inline distT="0" distB="0" distL="0" distR="0">
                  <wp:extent cx="7556500" cy="635000"/>
                  <wp:effectExtent l="0" t="0" r="0" b="0"/>
                  <wp:docPr id="636050161" name="Picture">
</wp:docPr>
                  <a:graphic>
                    <a:graphicData uri="http://schemas.openxmlformats.org/drawingml/2006/picture">
                      <pic:pic>
                        <pic:nvPicPr>
                          <pic:cNvPr id="63605016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Заказчик не осведомлен об объективной квалификации исполнителя.</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Система рейтингов подрядных бирж отражает не уровень квалификации, а уровень лояльности исполнителя, ибо если бы заказчик был способен оценить компетентность, то он не обращался бы за этой компетентностью на биржу.</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EndorsementReceived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Поставщики услуг outsourcing marketplaces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Исполнители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96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Максимизировать объективность квалифицирования</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Результат тестирования нередко можно купить или поделать.</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50</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0" w:name="JR_PAGE_ANCHOR_0_51"/>
            <w:bookmarkEnd w:id="50"/>
            <w:r>
              <w:rPr/>
              <w:drawing>
                <wp:inline distT="0" distB="0" distL="0" distR="0">
                  <wp:extent cx="7556500" cy="635000"/>
                  <wp:effectExtent l="0" t="0" r="0" b="0"/>
                  <wp:docPr id="2090770896" name="Picture">
</wp:docPr>
                  <a:graphic>
                    <a:graphicData uri="http://schemas.openxmlformats.org/drawingml/2006/picture">
                      <pic:pic>
                        <pic:nvPicPr>
                          <pic:cNvPr id="20907708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GradeAssigned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SyncGrade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Message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Закоммерциализированные сертификаты зачастую не отражают реальный уровень квалификации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Ввести внутреннюю систему ценностей в виде квалификационной классности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Стимулировать развитие участников</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ArtifactIsProposed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51</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1" w:name="JR_PAGE_ANCHOR_0_52"/>
            <w:bookmarkEnd w:id="51"/>
            <w:r>
              <w:rPr/>
              <w:drawing>
                <wp:inline distT="0" distB="0" distL="0" distR="0">
                  <wp:extent cx="7556500" cy="635000"/>
                  <wp:effectExtent l="0" t="0" r="0" b="0"/>
                  <wp:docPr id="1373146168" name="Picture">
</wp:docPr>
                  <a:graphic>
                    <a:graphicData uri="http://schemas.openxmlformats.org/drawingml/2006/picture">
                      <pic:pic>
                        <pic:nvPicPr>
                          <pic:cNvPr id="13731461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ReleaseEndorsement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EndorsementReleased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EndorsementReceived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Стимулировать развитие участников</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Самообразование и обретение опыта требуют затрат времени, поэтому грамотные специалисты стеснены в свободным времени, что зачастую приводит к гегемонии бескомпетентности в информационном пространстве экспертных сообществ - от этого страдает большинство технических пабликов.</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не отражает ни широты, на глубины знаний, ни способности специалиста применять эти знания на практике.</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Квалификационный голод малых компаний</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Работодатели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ReadModel Database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QueryHandler</w:t>
            </w:r>
          </w:p>
        </w:tc>
        <w:tc>
          <w:tcPr>
     </w:tcPr>
          <w:p>
            <w:pPr>
              <w:pStyle w:val="EMPTY_CELL_STYLE"/>
            </w:pPr>
          </w:p>
        </w:tc>
      </w:tr>
      <w:tr>
        <w:trPr>
          <w:trHeight w:hRule="exact" w:val="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2" w:name="JR_PAGE_ANCHOR_0_53"/>
            <w:bookmarkEnd w:id="52"/>
            <w:r>
              <w:rPr/>
              <w:drawing>
                <wp:inline distT="0" distB="0" distL="0" distR="0">
                  <wp:extent cx="7556500" cy="635000"/>
                  <wp:effectExtent l="0" t="0" r="0" b="0"/>
                  <wp:docPr id="322505366" name="Picture">
</wp:docPr>
                  <a:graphic>
                    <a:graphicData uri="http://schemas.openxmlformats.org/drawingml/2006/picture">
                      <pic:pic>
                        <pic:nvPicPr>
                          <pic:cNvPr id="3225053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Низкое качество ПО</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Высокая стоимость внемения изменения в реализацию</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ArtifactIsAccepted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Агрегат</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SyncGrade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Новичкам не всегда понятно кого слушать, т.к. у них не сформированы критерии оценки.</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"There's a definite Dunning-Kruger effect for authors. The people who hold a ton of knowledge hesitate because they find their insights "obvious" or "nothing special". Then you have people who write a lot but do little real work that they could base their writing on..." -- Gregor Hohpe https://twitter.com/ghohpe/status/1332200805852606470?s=20</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Subscriber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Традиционные методы голосования не позволяют в полной мере отразить отразить экспертность в рекомендациях добровольных совещательных органов</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экспертных сообществ</w:t>
            </w:r>
          </w:p>
        </w:tc>
        <w:tc>
          <w:tcPr>
     </w:tcPr>
          <w:p>
            <w:pPr>
              <w:pStyle w:val="EMPTY_CELL_STYLE"/>
            </w:pPr>
          </w:p>
        </w:tc>
      </w:tr>
      <w:tr>
        <w:trPr>
          <w:trHeight w:hRule="exact" w:val="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53</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3" w:name="JR_PAGE_ANCHOR_0_54"/>
            <w:bookmarkEnd w:id="53"/>
            <w:r>
              <w:rPr/>
              <w:drawing>
                <wp:inline distT="0" distB="0" distL="0" distR="0">
                  <wp:extent cx="7556500" cy="635000"/>
                  <wp:effectExtent l="0" t="0" r="0" b="0"/>
                  <wp:docPr id="107279519" name="Picture">
</wp:docPr>
                  <a:graphic>
                    <a:graphicData uri="http://schemas.openxmlformats.org/drawingml/2006/picture">
                      <pic:pic>
                        <pic:nvPicPr>
                          <pic:cNvPr id="10727951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Низкая эффективность грейдов на основе матриц компетентности</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Сотрудники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Subscriber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Потребители услуг outsourcing marketplaces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Заказчики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AvailableEndorsementsExceeded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ReleaseEndorsement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Bytes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EndorsementReserved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об уровне квалификации участников</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Новичкам не всегда понятно кого слушать, т.к. у них не сформированы критерии оценки.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Competence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54</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4" w:name="JR_PAGE_ANCHOR_0_55"/>
            <w:bookmarkEnd w:id="54"/>
            <w:r>
              <w:rPr/>
              <w:drawing>
                <wp:inline distT="0" distB="0" distL="0" distR="0">
                  <wp:extent cx="7556500" cy="635000"/>
                  <wp:effectExtent l="0" t="0" r="0" b="0"/>
                  <wp:docPr id="1155566202" name="Picture">
</wp:docPr>
                  <a:graphic>
                    <a:graphicData uri="http://schemas.openxmlformats.org/drawingml/2006/picture">
                      <pic:pic>
                        <pic:nvPicPr>
                          <pic:cNvPr id="11555662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RecentArtifacts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96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Наделить высококвалифицированных специалистов мерами административного воздействия, например, предоставить право установления временного запрета на публикацию сообщений в тг-канале.</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социальное положение грамотных специалистов как источников качественной информации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Артефакты должны классифицироваться по компетенциям</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 компетенциях (областях знаний) исполнителя</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"There's a definite Dunning-Kruger effect for authors. The people who </w:t>
            </w:r>
          </w:p>
        </w:tc>
        <w:tc>
          <w:tcPr>
     </w:tcPr>
          <w:p>
            <w:pPr>
              <w:pStyle w:val="EMPTY_CELL_STYLE"/>
            </w:pPr>
          </w:p>
        </w:tc>
      </w:tr>
      <w:tr>
        <w:trPr>
          <w:trHeight w:hRule="exact" w:val="8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5" w:name="JR_PAGE_ANCHOR_0_56"/>
            <w:bookmarkEnd w:id="55"/>
            <w:r>
              <w:rPr/>
              <w:drawing>
                <wp:inline distT="0" distB="0" distL="0" distR="0">
                  <wp:extent cx="7556500" cy="635000"/>
                  <wp:effectExtent l="0" t="0" r="0" b="0"/>
                  <wp:docPr id="127269549" name="Picture">
</wp:docPr>
                  <a:graphic>
                    <a:graphicData uri="http://schemas.openxmlformats.org/drawingml/2006/picture">
                      <pic:pic>
                        <pic:nvPicPr>
                          <pic:cNvPr id="12726954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hold a ton of knowledge hesitate because they find their insights "obvious" or "nothing special". Then you have people who write a lot but do little real work that they could base their writing on..." -- Gregor Hohpe https://twitter.com/ghohpe/status/1332200805852606470?s=20</w:t>
            </w:r>
          </w:p>
        </w:tc>
        <w:tc>
          <w:tcPr>
     </w:tcPr>
          <w:p>
            <w:pPr>
              <w:pStyle w:val="EMPTY_CELL_STYLE"/>
            </w:pPr>
          </w:p>
        </w:tc>
      </w:tr>
      <w:tr>
        <w:trPr>
          <w:trHeight w:hRule="exact" w:val="64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2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Захламленность информационного пространства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Рассматриваемый единовременно уровень сложности (Coupling) должен быть меньше ограничения краткосрочной памяти человека (З-н магического числа 7 ± 2).</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ценную информацию и ценных участников от атак.</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@banofbot может быть использован для атаки против ценных участников сообщества и необратимого уничтожения их информации в паблике.</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экспертных сообществ</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Специалисты отрасти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Количество голосов, требуемых для блокирования участника, должно учитывать уровень его квалификации.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Защитить ценную информацию и ценных участников от атак.</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Projection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Дисбаланс в пользу краткосрочных бизнес-интересов в ущерб долгосрочным техническим интересам (Spaghetti code)</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Низкое качество ПО</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JSON-Object</w:t>
            </w:r>
          </w:p>
        </w:tc>
        <w:tc>
          <w:tcPr>
     </w:tcPr>
          <w:p>
            <w:pPr>
              <w:pStyle w:val="EMPTY_CELL_STYLE"/>
            </w:pP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56</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6" w:name="JR_PAGE_ANCHOR_0_57"/>
            <w:bookmarkEnd w:id="56"/>
            <w:r>
              <w:rPr/>
              <w:drawing>
                <wp:inline distT="0" distB="0" distL="0" distR="0">
                  <wp:extent cx="7556500" cy="635000"/>
                  <wp:effectExtent l="0" t="0" r="0" b="0"/>
                  <wp:docPr id="911284082" name="Picture">
</wp:docPr>
                  <a:graphic>
                    <a:graphicData uri="http://schemas.openxmlformats.org/drawingml/2006/picture">
                      <pic:pic>
                        <pic:nvPicPr>
                          <pic:cNvPr id="9112840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Неизменяемый лог рекомендаций</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прозрачность происхождения уровня квалификации и её аудируемость</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Queue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Projection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Одна рекомендация от участника претендуемого (или более высокого) квалификационного класса равноценна двум рекомендациям от участников текущего квалификационного класса.</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Демотивация</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Поставщики услуг outsourcing marketplaces</w:t>
            </w:r>
          </w:p>
        </w:tc>
        <w:tc>
          <w:tcPr>
     </w:tcPr>
          <w:p>
            <w:pPr>
              <w:pStyle w:val="EMPTY_CELL_STYLE"/>
            </w:pPr>
          </w:p>
        </w:tc>
      </w:tr>
      <w:tr>
        <w:trPr>
          <w:trHeight w:hRule="exact" w:val="9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57</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7" w:name="JR_PAGE_ANCHOR_0_58"/>
            <w:bookmarkEnd w:id="57"/>
            <w:r>
              <w:rPr/>
              <w:drawing>
                <wp:inline distT="0" distB="0" distL="0" distR="0">
                  <wp:extent cx="7556500" cy="635000"/>
                  <wp:effectExtent l="0" t="0" r="0" b="0"/>
                  <wp:docPr id="1235247239" name="Picture">
</wp:docPr>
                  <a:graphic>
                    <a:graphicData uri="http://schemas.openxmlformats.org/drawingml/2006/picture">
                      <pic:pic>
                        <pic:nvPicPr>
                          <pic:cNvPr id="123524723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Subscriber Hexagonal Adapter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Influence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Influence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Рост когнитивной нагрузки на практикующего специалиста</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"There's a definite Dunning-Kruger effect for authors. The people who hold a ton of knowledge hesitate because they find their insights "obvious" or "nothing special". Then you have people who write a lot but do little real work that they could base their writing on..." -- Gregor Hohpe https://twitter.com/ghohpe/status/1332200805852606470?s=20</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Интеграционное событие</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Доменное событие</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ArtifactHasAlreadyBeenEndorsedForTheMember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GradeAssigned</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Требуемые количества рекомендаций по квалификационным классам: эксперт - 20 рекомендаций Экспертов; кандидат в эксперты - 10 рекомендаций Кандидатов в эксперты; 1 класс - 7 рекомендаций 1-го класса; 2 класс - 5 рекомендаций 2-го класса; 3 класс - 3 рекомендации 3-го класса; без класса - по умолчанию.</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Допускается одна рекомендация рекомендующего за один </w:t>
            </w: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58</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8" w:name="JR_PAGE_ANCHOR_0_59"/>
            <w:bookmarkEnd w:id="58"/>
            <w:r>
              <w:rPr/>
              <w:drawing>
                <wp:inline distT="0" distB="0" distL="0" distR="0">
                  <wp:extent cx="7556500" cy="635000"/>
                  <wp:effectExtent l="0" t="0" r="0" b="0"/>
                  <wp:docPr id="1592099291" name="Picture">
</wp:docPr>
                  <a:graphic>
                    <a:graphicData uri="http://schemas.openxmlformats.org/drawingml/2006/picture">
                      <pic:pic>
                        <pic:nvPicPr>
                          <pic:cNvPr id="159209929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конкретный артефакт рекомендуемого.</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Низкая эффективность грейдов на основе матриц компетентности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Конфликт интересов сертификационных организаций, финансирование которых находится в зависимости от количества претендентов и проданных курсов подготовки.</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Закоммерциализированные сертификаты зачастую не отражают реальный уровень квалификации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EndorsementReceived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Актор</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Команда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Dead Letter Channel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Team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DomainEvent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RecentArtifacts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59</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9" w:name="JR_PAGE_ANCHOR_0_60"/>
            <w:bookmarkEnd w:id="59"/>
            <w:r>
              <w:rPr/>
              <w:drawing>
                <wp:inline distT="0" distB="0" distL="0" distR="0">
                  <wp:extent cx="7556500" cy="635000"/>
                  <wp:effectExtent l="0" t="0" r="0" b="0"/>
                  <wp:docPr id="67053257" name="Picture">
</wp:docPr>
                  <a:graphic>
                    <a:graphicData uri="http://schemas.openxmlformats.org/drawingml/2006/picture">
                      <pic:pic>
                        <pic:nvPicPr>
                          <pic:cNvPr id="6705325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 (Hexagonal Port,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CommandHandler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RepositoryImplementation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Gateway (with Transactional Outbox)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AcceptArtifact</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предлагаемые артефакты могут проходить процедуру одобрения Комитетом Организации по его усмотрению.</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Системы тестирования зачастую обросли шпаргалками, которые специалист может выучить за один-два вечера.</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Консалтинг</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экспертных сообществ</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Каждый участник может отдать 20 рекомендаций (признаний) в год в пользу других участников.</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SyncGrade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60</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0" w:name="JR_PAGE_ANCHOR_0_61"/>
            <w:bookmarkEnd w:id="60"/>
            <w:r>
              <w:rPr/>
              <w:drawing>
                <wp:inline distT="0" distB="0" distL="0" distR="0">
                  <wp:extent cx="7556500" cy="635000"/>
                  <wp:effectExtent l="0" t="0" r="0" b="0"/>
                  <wp:docPr id="1525943877" name="Picture">
</wp:docPr>
                  <a:graphic>
                    <a:graphicData uri="http://schemas.openxmlformats.org/drawingml/2006/picture">
                      <pic:pic>
                        <pic:nvPicPr>
                          <pic:cNvPr id="152594387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представление нанимателю данных об уровне экспертности члена Организации (по его желанию), выраженного конкретным опытом, ценность которого подтверждена другими членами Организации</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Уровень зарплаты специалиста зачастую не коррелирует с реальным уровнем квалификации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Competence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CommandHandler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Спам в пабликах</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экспертных сообществ</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Influence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Influence relation</w:t>
            </w:r>
          </w:p>
        </w:tc>
        <w:tc>
          <w:tcPr>
     </w:tcPr>
          <w:p>
            <w:pPr>
              <w:pStyle w:val="EMPTY_CELL_STYLE"/>
            </w:pPr>
          </w:p>
        </w:tc>
      </w:tr>
      <w:tr>
        <w:trPr>
          <w:trHeight w:hRule="exact" w:val="96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Система рейтингов подрядных бирж отражает не уровень квалификации, а уровень лояльности исполнителя, ибо если бы заказчик был способен оценить компетентность, то он не обращался бы за этой компетентностью на биржу.</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Зависимое положение исполнителя от оценки/рекомендации заказчика.</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HTTP-Response</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61</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1" w:name="JR_PAGE_ANCHOR_0_62"/>
            <w:bookmarkEnd w:id="61"/>
            <w:r>
              <w:rPr/>
              <w:drawing>
                <wp:inline distT="0" distB="0" distL="0" distR="0">
                  <wp:extent cx="7556500" cy="635000"/>
                  <wp:effectExtent l="0" t="0" r="0" b="0"/>
                  <wp:docPr id="554723402" name="Picture">
</wp:docPr>
                  <a:graphic>
                    <a:graphicData uri="http://schemas.openxmlformats.org/drawingml/2006/picture">
                      <pic:pic>
                        <pic:nvPicPr>
                          <pic:cNvPr id="5547234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Разные участники организации обладают различным уровнем экспертности</w:t>
            </w:r>
          </w:p>
        </w:tc>
        <w:tc>
          <w:tcPr>
     </w:tcPr>
          <w:p>
            <w:pPr>
              <w:pStyle w:val="EMPTY_CELL_STYLE"/>
            </w:pPr>
          </w:p>
        </w:tc>
      </w:tr>
      <w:tr>
        <w:trPr>
          <w:trHeight w:hRule="exact" w:val="40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Традиционные методы голосования не позволяют в полной мере отразить отразить экспертность в рекомендациях добровольных совещательных органов</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EndorsementCompleted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WebHook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gRPC Hexagonal Adapter</w:t>
            </w:r>
          </w:p>
        </w:tc>
        <w:tc>
          <w:tcPr>
     </w:tcPr>
          <w:p>
            <w:pPr>
              <w:pStyle w:val="EMPTY_CELL_STYLE"/>
            </w:pPr>
          </w:p>
        </w:tc>
      </w:tr>
      <w:tr>
        <w:trPr>
          <w:trHeight w:hRule="exact" w:val="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2" w:name="JR_PAGE_ANCHOR_0_63"/>
            <w:bookmarkEnd w:id="62"/>
            <w:r>
              <w:rPr/>
              <w:drawing>
                <wp:inline distT="0" distB="0" distL="0" distR="0">
                  <wp:extent cx="7556500" cy="635000"/>
                  <wp:effectExtent l="0" t="0" r="0" b="0"/>
                  <wp:docPr id="421984610" name="Picture">
</wp:docPr>
                  <a:graphic>
                    <a:graphicData uri="http://schemas.openxmlformats.org/drawingml/2006/picture">
                      <pic:pic>
                        <pic:nvPicPr>
                          <pic:cNvPr id="4219846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HigherGradeCan'tBeEndorsed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ReleaseEndorsement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Стесненностью ресурсов времени практикующих специалистов на освоение информации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Рост когнитивной нагрузки на практикующего специалиста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Front Door Queue using message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максимальную полноту передачи (на основе принципа соразмерности) экспертности своих участников в представлениях экспертно-рекомендательных органов Организации.</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Разные участники организации обладают различным уровнем экспертности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Integration Event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Удовлетворение квалификационного голода малых компаний на основе нерегулярной частичной форме занятости высококвалифицированных специалистов (консалтинг).</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Квалифицированные кадры не видят репутационной и карьерной привлекательности в вакансиях малых компаний на постоянной форме занятости (по причине повышенных финансовых рисков, невысокой карьерной целесообразности и недостаточной конкурентноспособности зарплат)</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ReleaseEndorsement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63</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3" w:name="JR_PAGE_ANCHOR_0_64"/>
            <w:bookmarkEnd w:id="63"/>
            <w:r>
              <w:rPr/>
              <w:drawing>
                <wp:inline distT="0" distB="0" distL="0" distR="0">
                  <wp:extent cx="7556500" cy="635000"/>
                  <wp:effectExtent l="0" t="0" r="0" b="0"/>
                  <wp:docPr id="758843768" name="Picture">
</wp:docPr>
                  <a:graphic>
                    <a:graphicData uri="http://schemas.openxmlformats.org/drawingml/2006/picture">
                      <pic:pic>
                        <pic:nvPicPr>
                          <pic:cNvPr id="7588437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Тестирование основано на сопоставлении с образцом (эталоном) компетентности.</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Любой эталон является планкой (барьером), очерчивающей горизонт развития. Взятие планки останавливает развитие, а не стимулирует. Это неприемлемо для таких наукоемких и постоянно эволюционирующих отраслей, как ИТ.</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 Pipeline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Рекомендации от участников более низкого квалификационного класса не допускаются.</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 (Hexagonal Port,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QueryHandler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@banofbot может быть использован для атаки против ценных участников сообщества и необратимого уничтожения их информации в паблике.</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Участники сообщества могут банить спамеров, используя, например, @banofbot</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Queue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AvailableEndorsementsExceeded</w:t>
            </w:r>
          </w:p>
        </w:tc>
        <w:tc>
          <w:tcPr>
     </w:tcPr>
          <w:p>
            <w:pPr>
              <w:pStyle w:val="EMPTY_CELL_STYLE"/>
            </w:pPr>
          </w:p>
        </w:tc>
      </w:tr>
      <w:tr>
        <w:trPr>
          <w:trHeight w:hRule="exact" w:val="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64</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4" w:name="JR_PAGE_ANCHOR_0_65"/>
            <w:bookmarkEnd w:id="64"/>
            <w:r>
              <w:rPr/>
              <w:drawing>
                <wp:inline distT="0" distB="0" distL="0" distR="0">
                  <wp:extent cx="7556500" cy="635000"/>
                  <wp:effectExtent l="0" t="0" r="0" b="0"/>
                  <wp:docPr id="711332373" name="Picture">
</wp:docPr>
                  <a:graphic>
                    <a:graphicData uri="http://schemas.openxmlformats.org/drawingml/2006/picture">
                      <pic:pic>
                        <pic:nvPicPr>
                          <pic:cNvPr id="7113323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HigherGradeCan'tBeEndorsed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Gateway (with Transactional Outbox)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Актор</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Модель Чтения</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Отвлечение ресурсов времени специалистов на нерелевантные аспекты знаний в ущерб релевантным.</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Низкая эффективность грейдов на основе матриц компетентности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B</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EndorsementReserved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квалификационную классификацию на основе хорошо зарекомендовавшего себя на практике алгоритма спортивной </w:t>
            </w:r>
          </w:p>
        </w:tc>
        <w:tc>
          <w:tcPr>
     </w:tcPr>
          <w:p>
            <w:pPr>
              <w:pStyle w:val="EMPTY_CELL_STYLE"/>
            </w:pPr>
          </w:p>
        </w:tc>
      </w:tr>
      <w:tr>
        <w:trPr>
          <w:trHeight w:hRule="exact" w:val="30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5" w:name="JR_PAGE_ANCHOR_0_66"/>
            <w:bookmarkEnd w:id="65"/>
            <w:r>
              <w:rPr/>
              <w:drawing>
                <wp:inline distT="0" distB="0" distL="0" distR="0">
                  <wp:extent cx="7556500" cy="635000"/>
                  <wp:effectExtent l="0" t="0" r="0" b="0"/>
                  <wp:docPr id="2036431933" name="Picture">
</wp:docPr>
                  <a:graphic>
                    <a:graphicData uri="http://schemas.openxmlformats.org/drawingml/2006/picture">
                      <pic:pic>
                        <pic:nvPicPr>
                          <pic:cNvPr id="203643193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разрядности, где уровень мастерства спортсмена определяется относительно известного (т.е. доказанного) уровня мастерства других спортсменов.Т.е., по сути, методом сравнительного анализа.</w:t>
            </w:r>
          </w:p>
        </w:tc>
        <w:tc>
          <w:tcPr>
     </w:tcPr>
          <w:p>
            <w:pPr>
              <w:pStyle w:val="EMPTY_CELL_STYLE"/>
            </w:pPr>
          </w:p>
        </w:tc>
      </w:tr>
      <w:tr>
        <w:trPr>
          <w:trHeight w:hRule="exact" w:val="64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2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об уровне квалификации участников</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 компетенциях (областях знаний) исполнителя</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Рейтинги не дают представления о компетенциях исполнителя</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JSON-RPC Hexagonal Adapter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 design ≈ cost ≈ change ≈ big change ≈ coupling. Transitively, software design ≈ managing coupling." -- Kent Beck</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EndorsementReleased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A</w:t>
            </w: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66</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6" w:name="JR_PAGE_ANCHOR_0_67"/>
            <w:bookmarkEnd w:id="66"/>
            <w:r>
              <w:rPr/>
              <w:drawing>
                <wp:inline distT="0" distB="0" distL="0" distR="0">
                  <wp:extent cx="7556500" cy="635000"/>
                  <wp:effectExtent l="0" t="0" r="0" b="0"/>
                  <wp:docPr id="1634697653" name="Picture">
</wp:docPr>
                  <a:graphic>
                    <a:graphicData uri="http://schemas.openxmlformats.org/drawingml/2006/picture">
                      <pic:pic>
                        <pic:nvPicPr>
                          <pic:cNvPr id="163469765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ArtifactHasAlreadyBeenEndorsedForTheMember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Восстановить процентное содержание качественной информации</w:t>
            </w:r>
          </w:p>
        </w:tc>
        <w:tc>
          <w:tcPr>
     </w:tcPr>
          <w:p>
            <w:pPr>
              <w:pStyle w:val="EMPTY_CELL_STYLE"/>
            </w:pPr>
          </w:p>
        </w:tc>
      </w:tr>
      <w:tr>
        <w:trPr>
          <w:trHeight w:hRule="exact" w:val="8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Самообразование и обретение опыта требуют затрат времени, поэтому грамотные специалисты стеснены в свободным времени, что зачастую приводит к гегемонии бескомпетентности в информационном пространстве экспертных сообществ - от этого страдает большинство технических пабликов.</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CommandHandler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RepositoryInterface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Грамотные специалисты не всегда спешат ввязываться во флейм с малограмотными оппонентами. Зачастую это приводит к их демотивации и самоустранению из пабликов.</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Захламленность информационного пространства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Дросселировать информацию от участников с невысоким уровнем </w:t>
            </w:r>
          </w:p>
        </w:tc>
        <w:tc>
          <w:tcPr>
     </w:tcPr>
          <w:p>
            <w:pPr>
              <w:pStyle w:val="EMPTY_CELL_STYLE"/>
            </w:pPr>
          </w:p>
        </w:tc>
      </w:tr>
      <w:tr>
        <w:trPr>
          <w:trHeight w:hRule="exact" w:val="16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67</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7" w:name="JR_PAGE_ANCHOR_0_68"/>
            <w:bookmarkEnd w:id="67"/>
            <w:r>
              <w:rPr/>
              <w:drawing>
                <wp:inline distT="0" distB="0" distL="0" distR="0">
                  <wp:extent cx="7556500" cy="635000"/>
                  <wp:effectExtent l="0" t="0" r="0" b="0"/>
                  <wp:docPr id="1579775434" name="Picture">
</wp:docPr>
                  <a:graphic>
                    <a:graphicData uri="http://schemas.openxmlformats.org/drawingml/2006/picture">
                      <pic:pic>
                        <pic:nvPicPr>
                          <pic:cNvPr id="157977543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квалификации</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Мотивировать участников к повышению качества публикуемой ими информации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Понижение уровня реиспользования кода, рост дубликатов</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14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квалификационную классификацию на основе хорошо зарекомендовавшего себя на практике алгоритма спортивной разрядности, где уровень мастерства спортсмена определяется относительно известного (т.е. доказанного) уровня мастерства других спортсменов.Т.е., по сути, методом сравнительного анализа.</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 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Moderator</w:t>
            </w:r>
          </w:p>
        </w:tc>
        <w:tc>
          <w:tcPr>
     </w:tcPr>
          <w:p>
            <w:pPr>
              <w:pStyle w:val="EMPTY_CELL_STYLE"/>
            </w:pPr>
          </w:p>
        </w:tc>
      </w:tr>
      <w:tr>
        <w:trPr>
          <w:trHeight w:hRule="exact" w:val="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68</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8" w:name="JR_PAGE_ANCHOR_0_69"/>
            <w:bookmarkEnd w:id="68"/>
            <w:r>
              <w:rPr/>
              <w:drawing>
                <wp:inline distT="0" distB="0" distL="0" distR="0">
                  <wp:extent cx="7556500" cy="635000"/>
                  <wp:effectExtent l="0" t="0" r="0" b="0"/>
                  <wp:docPr id="474027124" name="Picture">
</wp:docPr>
                  <a:graphic>
                    <a:graphicData uri="http://schemas.openxmlformats.org/drawingml/2006/picture">
                      <pic:pic>
                        <pic:nvPicPr>
                          <pic:cNvPr id="47402712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AnyMember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Дросселировать информацию от участников с невысоким уровнем квалификации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Восстановить процентное содержание качественной информации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ReserveEndorsement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EndorsementReserved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Рекомендации от участников более низкого квалификационного класса не допускаются.</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Квалифицировать должно лицо, обладающее способностями объективной квалификации, т.е. квалифицировать должен специалист с известным/подтвержденным уровнем квалификации не ниже уровня квалифицируемого, а не заказчик.</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 Pipeline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Политика</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Доменное событие</w:t>
            </w:r>
          </w:p>
        </w:tc>
        <w:tc>
          <w:tcPr>
     </w:tcPr>
          <w:p>
            <w:pPr>
              <w:pStyle w:val="EMPTY_CELL_STYLE"/>
            </w:pPr>
          </w:p>
        </w:tc>
      </w:tr>
      <w:tr>
        <w:trPr>
          <w:trHeight w:hRule="exact" w:val="7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69</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69" w:name="JR_PAGE_ANCHOR_0_70"/>
            <w:bookmarkEnd w:id="69"/>
            <w:r>
              <w:rPr/>
              <w:drawing>
                <wp:inline distT="0" distB="0" distL="0" distR="0">
                  <wp:extent cx="7556500" cy="635000"/>
                  <wp:effectExtent l="0" t="0" r="0" b="0"/>
                  <wp:docPr id="363103401" name="Picture">
</wp:docPr>
                  <a:graphic>
                    <a:graphicData uri="http://schemas.openxmlformats.org/drawingml/2006/picture">
                      <pic:pic>
                        <pic:nvPicPr>
                          <pic:cNvPr id="36310340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REST-Endpoint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Queue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Падение velocity. В основу метафоры "технический долг" положено правило "сложного процента", возрастающего в геометрической прогрессии.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WebHook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Projection (Policy)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ReadModel Database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 (Hexagonal Port,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REST-Endpoint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представление о компетенциях (областях знаний) исполнителя</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Новичкам не всегда понятно кого слушать, т.к. у них не сформированы критерии оценки.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 Reply Channel</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70</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0" w:name="JR_PAGE_ANCHOR_0_71"/>
            <w:bookmarkEnd w:id="70"/>
            <w:r>
              <w:rPr/>
              <w:drawing>
                <wp:inline distT="0" distB="0" distL="0" distR="0">
                  <wp:extent cx="7556500" cy="635000"/>
                  <wp:effectExtent l="0" t="0" r="0" b="0"/>
                  <wp:docPr id="2085085303" name="Picture">
</wp:docPr>
                  <a:graphic>
                    <a:graphicData uri="http://schemas.openxmlformats.org/drawingml/2006/picture">
                      <pic:pic>
                        <pic:nvPicPr>
                          <pic:cNvPr id="208508530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CompleteEndorsement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EndorsementCompleted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Уровень зарплаты специалиста зачастую не коррелирует с реальным уровнем квалификации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Сотрудники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ArtifactHasAlreadyBeenEndorsedForTheMember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Модель Чтения</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Агрегат</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12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Квалифицированные кадры не видят репутационной и карьерной привлекательности в вакансиях малых компаний на постоянной форме занятости (по причине повышенных финансовых рисков, невысокой карьерной целесообразности и недостаточной конкурентноспособности зарплат)</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Квалификационный голод малых компаний</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Role</w:t>
            </w:r>
          </w:p>
        </w:tc>
        <w:tc>
          <w:tcPr>
     </w:tcPr>
          <w:p>
            <w:pPr>
              <w:pStyle w:val="EMPTY_CELL_STYLE"/>
            </w:pPr>
          </w:p>
        </w:tc>
      </w:tr>
      <w:tr>
        <w:trPr>
          <w:trHeight w:hRule="exact" w:val="7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71</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1" w:name="JR_PAGE_ANCHOR_0_72"/>
            <w:bookmarkEnd w:id="71"/>
            <w:r>
              <w:rPr/>
              <w:drawing>
                <wp:inline distT="0" distB="0" distL="0" distR="0">
                  <wp:extent cx="7556500" cy="635000"/>
                  <wp:effectExtent l="0" t="0" r="0" b="0"/>
                  <wp:docPr id="692864183" name="Picture">
</wp:docPr>
                  <a:graphic>
                    <a:graphicData uri="http://schemas.openxmlformats.org/drawingml/2006/picture">
                      <pic:pic>
                        <pic:nvPicPr>
                          <pic:cNvPr id="69286418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Member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Закоммерциализированные сертификаты зачастую не отражают реальный уровень квалификации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Сотрудники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Committee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HigherGradeCan'tBeEndorsed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Команда</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ArtifactIsProposed</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72</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2" w:name="JR_PAGE_ANCHOR_0_73"/>
            <w:bookmarkEnd w:id="72"/>
            <w:r>
              <w:rPr/>
              <w:drawing>
                <wp:inline distT="0" distB="0" distL="0" distR="0">
                  <wp:extent cx="7556500" cy="635000"/>
                  <wp:effectExtent l="0" t="0" r="0" b="0"/>
                  <wp:docPr id="751180603" name="Picture">
</wp:docPr>
                  <a:graphic>
                    <a:graphicData uri="http://schemas.openxmlformats.org/drawingml/2006/picture">
                      <pic:pic>
                        <pic:nvPicPr>
                          <pic:cNvPr id="75118060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7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Компенсировать зависимость исполнителя от оценки заказчика (на краткосрочном горизонте) введением зависимости от перспектив (на долгосрочном горизонте).</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Зависимое положение исполнителя от оценки/рекомендации заказчика.</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50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Закоммерциализированные сертификаты зачастую не отражают реальный уровень квалификации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Работодатели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Низкая эффективность грейдов на основе матриц компетентности</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Работодатели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GOF Pattern Mediator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Команда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Рейтинги не дают представления о компетенциях исполнителя</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Система рейтингов подрядных бирж отражает не уровень квалификации, а уровень лояльности исполнителя, ибо если бы заказчик был способен оценить компетентность, то он не обращался бы за этой компетентностью на биржу.</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73</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3" w:name="JR_PAGE_ANCHOR_0_74"/>
            <w:bookmarkEnd w:id="73"/>
            <w:r>
              <w:rPr/>
              <w:drawing>
                <wp:inline distT="0" distB="0" distL="0" distR="0">
                  <wp:extent cx="7556500" cy="635000"/>
                  <wp:effectExtent l="0" t="0" r="0" b="0"/>
                  <wp:docPr id="1933551964" name="Picture">
</wp:docPr>
                  <a:graphic>
                    <a:graphicData uri="http://schemas.openxmlformats.org/drawingml/2006/picture">
                      <pic:pic>
                        <pic:nvPicPr>
                          <pic:cNvPr id="193355196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Неясные интерфейсы и именования требуют затрат времени на изучение реализации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Integration Event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142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Обеспечить квалификационную классификацию на основе хорошо зарекомендовавшего себя на практике алгоритма спортивной разрядности, где уровень мастерства спортсмена определяется относительно известного (т.е. доказанного) уровня мастерства других спортсменов.Т.е., по сути, методом сравнительного анализа.</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Ввести внутреннюю систему ценностей в виде квалификационной классности</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96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Адресовать запросы в первую очередь к участникам, обладающим наивысшим уровнем экспертности, выраженной конкретным опытом, ценность которого подтверждена другими членами организации.</w:t>
            </w:r>
          </w:p>
        </w:tc>
        <w:tc>
          <w:tcPr>
     </w:tcPr>
          <w:p>
            <w:pPr>
              <w:pStyle w:val="EMPTY_CELL_STYLE"/>
            </w:pPr>
          </w:p>
        </w:tc>
      </w:tr>
      <w:tr>
        <w:trPr>
          <w:trHeight w:hRule="exact" w:val="280"/>
        </w:trPr>
        <w:tc>
          <w:tcPr>
     </w:tcPr>
          <w:p>
            <w:pPr>
              <w:pStyle w:val="EMPTY_CELL_STYLE"/>
            </w:pPr>
          </w:p>
        </w:tc>
        <w:tc>
          <w:tcPr>
     </w:tcPr>
          <w:p>
            <w:pPr>
              <w:pStyle w:val="EMPTY_CELL_STYLE"/>
            </w:pP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Укрепить репутацию экспертного сообщества</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Захламленность информационного пространства</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Рост когнитивной нагрузки на практикующего специалиста</w:t>
            </w:r>
          </w:p>
        </w:tc>
        <w:tc>
          <w:tcPr>
     </w:tcPr>
          <w:p>
            <w:pPr>
              <w:pStyle w:val="EMPTY_CELL_STYLE"/>
            </w:pPr>
          </w:p>
        </w:tc>
      </w:tr>
      <w:tr>
        <w:trPr>
          <w:trHeight w:hRule="exact" w:val="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74</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4" w:name="JR_PAGE_ANCHOR_0_75"/>
            <w:bookmarkEnd w:id="74"/>
            <w:r>
              <w:rPr/>
              <w:drawing>
                <wp:inline distT="0" distB="0" distL="0" distR="0">
                  <wp:extent cx="7556500" cy="635000"/>
                  <wp:effectExtent l="0" t="0" r="0" b="0"/>
                  <wp:docPr id="1778700964" name="Picture">
</wp:docPr>
                  <a:graphic>
                    <a:graphicData uri="http://schemas.openxmlformats.org/drawingml/2006/picture">
                      <pic:pic>
                        <pic:nvPicPr>
                          <pic:cNvPr id="177870096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Another Service/System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HTTP-Request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EndorsementCompleted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Ухудшение внутреннего качества программы</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Дисбаланс в пользу краткосрочных бизнес-интересов в ущерб долгосрочным техническим интересам (Spaghetti code)</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Максимизировать объективность квалифицирования</w:t>
            </w:r>
          </w:p>
        </w:tc>
        <w:tc>
          <w:tcPr>
     </w:tcPr>
          <w:p>
            <w:pPr>
              <w:pStyle w:val="EMPTY_CELL_STYLE"/>
            </w:pPr>
          </w:p>
        </w:tc>
      </w:tr>
      <w:tr>
        <w:trPr>
          <w:trHeight w:hRule="exact" w:val="64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Система рейтингов подрядных бирж отражает не уровень квалификации, а уровень лояльности исполнителя, ибо если бы заказчик был способен оценить компетентность, то он не обращался бы за этой компетентностью на биржу.</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REST-API Hexagonal Adapter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Command (Hexagonal Port, Interface)</w:t>
            </w:r>
          </w:p>
        </w:tc>
        <w:tc>
          <w:tcPr>
     </w:tcPr>
          <w:p>
            <w:pPr>
              <w:pStyle w:val="EMPTY_CELL_STYLE"/>
            </w:pPr>
          </w:p>
        </w:tc>
      </w:tr>
      <w:tr>
        <w:trPr>
          <w:trHeight w:hRule="exact" w:val="6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75</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5" w:name="JR_PAGE_ANCHOR_0_76"/>
            <w:bookmarkEnd w:id="75"/>
            <w:r>
              <w:rPr/>
              <w:drawing>
                <wp:inline distT="0" distB="0" distL="0" distR="0">
                  <wp:extent cx="7556500" cy="635000"/>
                  <wp:effectExtent l="0" t="0" r="0" b="0"/>
                  <wp:docPr id="1636003033" name="Picture">
</wp:docPr>
                  <a:graphic>
                    <a:graphicData uri="http://schemas.openxmlformats.org/drawingml/2006/picture">
                      <pic:pic>
                        <pic:nvPicPr>
                          <pic:cNvPr id="163600303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Tenant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Influence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Influence relation</w:t>
            </w:r>
          </w:p>
        </w:tc>
        <w:tc>
          <w:tcPr>
     </w:tcPr>
          <w:p>
            <w:pPr>
              <w:pStyle w:val="EMPTY_CELL_STYLE"/>
            </w:pPr>
          </w:p>
        </w:tc>
      </w:tr>
      <w:tr>
        <w:trPr>
          <w:trHeight w:hRule="exact" w:val="500"/>
        </w:trPr>
        <w:tc>
          <w:tcPr>
     </w:tcPr>
          <w:p>
            <w:pPr>
              <w:pStyle w:val="EMPTY_CELL_STYLE"/>
            </w:pPr>
          </w:p>
        </w:tc>
        <w:tc>
          <w:tcPr>
            <w:vMerge w:val="restart"/>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Зависимое положение исполнителя от оценки/рекомендации заказчика.</w:t>
            </w:r>
          </w:p>
        </w:tc>
        <w:tc>
          <w:tcPr>
     </w:tcPr>
          <w:p>
            <w:pPr>
              <w:pStyle w:val="EMPTY_CELL_STYLE"/>
            </w:pPr>
          </w:p>
        </w:tc>
      </w:tr>
      <w:tr>
        <w:trPr>
          <w:trHeight w:hRule="exact" w:val="180"/>
        </w:trPr>
        <w:tc>
          <w:tcPr>
     </w:tcPr>
          <w:p>
            <w:pPr>
              <w:pStyle w:val="EMPTY_CELL_STYLE"/>
            </w:pPr>
          </w:p>
        </w:tc>
        <w:tc>
          <w:tcPr>
            <w:vMerge w:val="continue"/>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gridSpan w:val="3"/>
            <w:vMerge w:val="restart"/>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Дисбаланс в пользу краткосрочных бизнес-интересов в ущерб долгосрочным техническим интересам (Spaghetti code)</w:t>
            </w:r>
          </w:p>
        </w:tc>
        <w:tc>
          <w:tcPr>
     </w:tcPr>
          <w:p>
            <w:pPr>
              <w:pStyle w:val="EMPTY_CELL_STYLE"/>
            </w:pPr>
          </w:p>
        </w:tc>
      </w:tr>
      <w:tr>
        <w:trPr>
          <w:trHeight w:hRule="exact" w:val="320"/>
        </w:trPr>
        <w:tc>
          <w:tcPr>
     </w:tcPr>
          <w:p>
            <w:pPr>
              <w:pStyle w:val="EMPTY_CELL_STYLE"/>
            </w:pPr>
          </w:p>
        </w:tc>
        <w:tc>
          <w:tcPr>
     </w:tcPr>
          <w:p>
            <w:pPr>
              <w:pStyle w:val="EMPTY_CELL_STYLE"/>
            </w:pPr>
          </w:p>
        </w:tc>
        <w:tc>
          <w:tcPr>
            <w:gridSpan w:val="3"/>
            <w:vMerge w:val="continue"/>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Сложность выбора квалифицированного исполнителя</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Перерасход средств по стоимости разработки</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Anti-Corruption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Telegram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authors (has many)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Conformist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Voting BC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creartedBy (has one)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endorser (has one)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 many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76</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6" w:name="JR_PAGE_ANCHOR_0_77"/>
            <w:bookmarkEnd w:id="76"/>
            <w:r>
              <w:rPr/>
              <w:drawing>
                <wp:inline distT="0" distB="0" distL="0" distR="0">
                  <wp:extent cx="7556500" cy="635000"/>
                  <wp:effectExtent l="0" t="0" r="0" b="0"/>
                  <wp:docPr id="1433070882" name="Picture">
</wp:docPr>
                  <a:graphic>
                    <a:graphicData uri="http://schemas.openxmlformats.org/drawingml/2006/picture">
                      <pic:pic>
                        <pic:nvPicPr>
                          <pic:cNvPr id="14330708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 one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owner (has one)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Competence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Published Language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Grade BC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Published Language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Management BC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Published Language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Identity BC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Voting BC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received_endorsements (has many)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Endorsement</w:t>
            </w:r>
          </w:p>
        </w:tc>
        <w:tc>
          <w:tcPr>
     </w:tcPr>
          <w:p>
            <w:pPr>
              <w:pStyle w:val="EMPTY_CELL_STYLE"/>
            </w:pPr>
          </w:p>
        </w:tc>
      </w:tr>
      <w:tr>
        <w:trPr>
          <w:trHeight w:hRule="exact" w:val="4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grade</w:t>
            </w:r>
          </w:p>
        </w:tc>
        <w:tc>
          <w:tcPr>
            <w:tcMar>
              <w:top w:w="0" w:type="dxa"/>
              <w:left w:w="0" w:type="dxa"/>
              <w:bottom w:w="0" w:type="dxa"/>
              <w:right w:w="0" w:type="dxa"/>
            </w:tcMar>
            <w:vAlign w:val="center"/>
          </w:tcPr>
          <w:p>
            <w:pPr>
              <w:pStyle w:val="Page footer"/>
              <w:ind/>
              <w:jc w:val="right"/>
            </w:pPr>
            <w:r>
              <w:rPr>
       </w:rPr>
              <w:t xml:space="preserve">77</w:t>
            </w:r>
          </w:p>
        </w:tc>
        <w:tc>
          <w:tcPr>
            <w:tcMar>
              <w:top w:w="0" w:type="dxa"/>
              <w:left w:w="0" w:type="dxa"/>
              <w:bottom w:w="0" w:type="dxa"/>
              <w:right w:w="0" w:type="dxa"/>
            </w:tcMar>
            <w:vAlign w:val="center"/>
          </w:tcPr>
          <w:p>
            <w:pPr>
              <w:pStyle w:val="Page footer"/>
              <w:ind/>
            </w:pPr>
            <w:r>
              <w:rPr>
       </w:rPr>
              <w:t xml:space="preserve"> / 77</w:t>
            </w:r>
          </w:p>
        </w:tc>
        <w:tc>
          <w:tcPr>
     </w:tcPr>
          <w:p>
            <w:pPr>
              <w:pStyle w:val="EMPTY_CELL_STYLE"/>
            </w:pPr>
          </w:p>
        </w:tc>
      </w:tr>
    </w:tbl>
    <w:sectPr>
      <w:pgSz w:w="11900" w:h="16840" w:orient="portrait"/>
      <w:pgMar w:top="0" w:right="800" w:bottom="0" w:left="0" w:header="0" w:footer="0" w:gutter="0"/>
      <w:docGrid w:linePitch="360"/>
    </w:sectPr>
  </w:body>
</w:document>
</file>

<file path=word/settings.xml><?xml version="1.0" encoding="utf-8"?>
<w:settings xmlns:w="http://schemas.openxmlformats.org/wordprocessingml/2006/main">
  <w:defaultTabStop w:val="800"/>
</w:settings>
</file>

<file path=word/styles.xml><?xml version="1.0" encoding="utf-8"?>
<w:styles xmlns:r="http://schemas.openxmlformats.org/officeDocument/2006/relationships" xmlns:w="http://schemas.openxmlformats.org/wordprocessingml/2006/main">
  <w:docDefaults>
    <w:rPrDefault>
  </w:rPrDefault>
    <w:pPrDefault>
      <w:pPr>
        <w:spacing w:line="240"/>
      </w:pPr>
    </w:pPrDefault>
  </w:docDefaults>
  <w:style w:type="paragraph" w:styleId="EMPTY_CELL_STYLE">
    <w:name w:val="EMPTY_CELL_STYLE"/>
    <w:qFormat/>
    <w:pPr>
      <w:ind/>
    </w:pPr>
    <w:rPr>
      <w:rFonts w:ascii="SansSerif" w:hAnsi="SansSerif" w:eastAsia="SansSerif" w:cs="SansSerif"/>
      <w:color w:val="000000"/>
      <w:sz w:val="1"/>
    </w:rPr>
  </w:style>
  <w:style w:type="paragraph" w:styleId="Normal">
    <w:name w:val="Normal"/>
    <w:qFormat/>
    <w:pPr>
      <w:ind/>
    </w:pPr>
    <w:rPr>
      <w:rFonts w:ascii="DejaVu Sans" w:hAnsi="DejaVu Sans" w:eastAsia="DejaVu Sans" w:cs="DejaVu Sans"/>
      <w:color w:val="000000"/>
      <w:sz w:val="24"/>
    </w:rPr>
  </w:style>
  <w:style w:type="paragraph" w:styleId="Title">
    <w:name w:val="Title"/>
    <w:qFormat/>
    <w:basedOn w:val="Normal"/>
    <w:pPr>
      <w:ind/>
    </w:pPr>
    <w:rPr>
      <w:sz w:val="44"/>
    </w:rPr>
  </w:style>
  <w:style w:type="paragraph" w:styleId="Title Date">
    <w:name w:val="Title Date"/>
    <w:qFormat/>
    <w:basedOn w:val="Normal"/>
    <w:pPr>
      <w:ind/>
    </w:pPr>
    <w:rPr>
      <w:sz w:val="20"/>
    </w:rPr>
  </w:style>
  <w:style w:type="paragraph" w:styleId="Page footer">
    <w:name w:val="Page footer"/>
    <w:qFormat/>
    <w:basedOn w:val="Normal"/>
    <w:pPr>
      <w:ind/>
    </w:pPr>
    <w:rPr>
      <w:color w:val="666666"/>
      <w:sz w:val="16"/>
    </w:rPr>
  </w:style>
  <w:style w:type="paragraph" w:styleId="Title 1">
    <w:name w:val="Title 1"/>
    <w:qFormat/>
    <w:basedOn w:val="Normal"/>
    <w:pPr>
      <w:ind/>
    </w:pPr>
    <w:rPr>
      <w:color w:val="7CA9BF"/>
      <w:sz w:val="40"/>
    </w:rPr>
  </w:style>
  <w:style w:type="paragraph" w:styleId="Title 2">
    <w:name w:val="Title 2"/>
    <w:qFormat/>
    <w:basedOn w:val="Normal"/>
    <w:pPr>
      <w:ind/>
    </w:pPr>
    <w:rPr>
      <w:color w:val="7CA9BF"/>
      <w:sz w:val="32"/>
    </w:rPr>
  </w:style>
  <w:style w:type="paragraph" w:styleId="Table row">
    <w:name w:val="Table row"/>
    <w:qFormat/>
    <w:basedOn w:val="Normal"/>
    <w:pPr>
      <w:ind/>
      <w:jc w:val="left"/>
    </w:pPr>
    <w:rPr>
      <w:sz w:val="20"/>
    </w:rPr>
  </w:style>
  <w:style w:type="paragraph" w:styleId="Table header">
    <w:name w:val="Table header"/>
    <w:qFormat/>
    <w:basedOn w:val="Table row"/>
    <w:pPr>
      <w:ind/>
    </w:pPr>
    <w:rPr>
      <w:b w:val="true"/>
    </w:rPr>
  </w:style>
  <w:style w:type="paragraph" w:styleId="Title 3">
    <w:name w:val="Title 3"/>
    <w:qFormat/>
    <w:basedOn w:val="Normal"/>
    <w:pPr>
      <w:ind/>
    </w:pPr>
    <w:rPr>
      <w:color w:val="7CA9BF"/>
      <w:sz w:val="28"/>
    </w:rPr>
  </w:style>
  <w:style w:type="paragraph" w:styleId="Italic">
    <w:name w:val="Italic"/>
    <w:qFormat/>
    <w:basedOn w:val="Normal"/>
    <w:pPr>
      <w:ind/>
    </w:pPr>
    <w:rPr>
      <w:i w:val="true"/>
    </w:rPr>
  </w:style>
  <w:style w:type="paragraph" w:styleId="Documentation">
    <w:name w:val="Documentation"/>
    <w:qFormat/>
    <w:basedOn w:val="Normal"/>
    <w:pPr>
      <w:ind/>
    </w:pPr>
    <w:rPr>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img_0_1_0.png" Type="http://schemas.openxmlformats.org/officeDocument/2006/relationships/image" Target="media/img_0_1_0.png"/>
 <Relationship Id="img_0_2_4.png" Type="http://schemas.openxmlformats.org/officeDocument/2006/relationships/image" Target="media/img_0_2_4.png"/>
 <Relationship Id="img_0_3_3.png" Type="http://schemas.openxmlformats.org/officeDocument/2006/relationships/image" Target="media/img_0_3_3.png"/>
 <Relationship Id="img_0_5_3.png" Type="http://schemas.openxmlformats.org/officeDocument/2006/relationships/image" Target="media/img_0_5_3.png"/>
 <Relationship Id="img_0_6_3.png" Type="http://schemas.openxmlformats.org/officeDocument/2006/relationships/image" Target="media/img_0_6_3.png"/>
 <Relationship Id="img_0_9_3.png" Type="http://schemas.openxmlformats.org/officeDocument/2006/relationships/image" Target="media/img_0_9_3.png"/>
 <Relationship Id="img_0_11_3.png" Type="http://schemas.openxmlformats.org/officeDocument/2006/relationships/image" Target="media/img_0_11_3.png"/>
</Relationships>

</file>

<file path=docProps/app.xml><?xml version="1.0" encoding="utf-8"?>
<Properties xmlns="http://schemas.openxmlformats.org/officeDocument/2006/extended-properties">
  <Application>JasperReports Library version 6.7.1</Applicat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oreProperties>
</file>